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420CAF">
      <w:pPr>
        <w:keepNext w:val="0"/>
        <w:keepLines w:val="0"/>
        <w:pageBreakBefore w:val="0"/>
        <w:widowControl w:val="0"/>
        <w:kinsoku/>
        <w:wordWrap/>
        <w:overflowPunct/>
        <w:topLinePunct w:val="0"/>
        <w:bidi w:val="0"/>
        <w:snapToGrid/>
        <w:spacing w:line="600" w:lineRule="exact"/>
        <w:textAlignment w:val="auto"/>
        <w:rPr>
          <w:rFonts w:hint="default" w:ascii="方正黑体_GBK" w:hAnsi="方正黑体_GBK" w:eastAsia="方正黑体_GBK" w:cs="方正黑体_GBK"/>
          <w:sz w:val="32"/>
          <w:szCs w:val="32"/>
          <w:lang w:val="en-US"/>
        </w:rPr>
      </w:pPr>
      <w:r>
        <w:rPr>
          <w:rFonts w:hint="eastAsia" w:ascii="方正黑体_GBK" w:hAnsi="方正黑体_GBK" w:eastAsia="方正黑体_GBK" w:cs="方正黑体_GBK"/>
          <w:sz w:val="32"/>
          <w:szCs w:val="32"/>
          <w:lang w:val="en-US" w:eastAsia="zh-CN"/>
        </w:rPr>
        <w:t>附件</w:t>
      </w:r>
    </w:p>
    <w:p w14:paraId="4206A6B5">
      <w:pPr>
        <w:keepNext w:val="0"/>
        <w:keepLines w:val="0"/>
        <w:pageBreakBefore w:val="0"/>
        <w:widowControl w:val="0"/>
        <w:kinsoku/>
        <w:wordWrap/>
        <w:overflowPunct/>
        <w:topLinePunct w:val="0"/>
        <w:bidi w:val="0"/>
        <w:snapToGrid/>
        <w:spacing w:line="600" w:lineRule="exact"/>
        <w:textAlignment w:val="auto"/>
        <w:rPr>
          <w:rFonts w:ascii="方正仿宋_GBK" w:eastAsia="方正仿宋_GBK"/>
          <w:sz w:val="32"/>
          <w:szCs w:val="32"/>
        </w:rPr>
      </w:pPr>
    </w:p>
    <w:p w14:paraId="7BCD125F">
      <w:pPr>
        <w:keepNext w:val="0"/>
        <w:keepLines w:val="0"/>
        <w:pageBreakBefore w:val="0"/>
        <w:widowControl w:val="0"/>
        <w:kinsoku/>
        <w:wordWrap/>
        <w:overflowPunct/>
        <w:topLinePunct w:val="0"/>
        <w:autoSpaceDE w:val="0"/>
        <w:autoSpaceDN w:val="0"/>
        <w:bidi w:val="0"/>
        <w:adjustRightInd w:val="0"/>
        <w:snapToGrid/>
        <w:spacing w:line="600" w:lineRule="exact"/>
        <w:ind w:firstLine="0" w:firstLineChars="0"/>
        <w:jc w:val="center"/>
        <w:textAlignment w:val="auto"/>
        <w:rPr>
          <w:rFonts w:ascii="方正小标宋_GBK" w:hAnsi="宋体" w:eastAsia="方正小标宋_GBK" w:cs="宋体"/>
          <w:kern w:val="0"/>
          <w:sz w:val="44"/>
          <w:szCs w:val="44"/>
        </w:rPr>
      </w:pPr>
      <w:r>
        <w:rPr>
          <w:rFonts w:hint="eastAsia" w:ascii="方正小标宋_GBK" w:hAnsi="宋体" w:eastAsia="方正小标宋_GBK" w:cs="宋体"/>
          <w:kern w:val="0"/>
          <w:sz w:val="44"/>
          <w:szCs w:val="44"/>
        </w:rPr>
        <w:t>关于推行专项信用报告替代</w:t>
      </w:r>
    </w:p>
    <w:p w14:paraId="302B48E5">
      <w:pPr>
        <w:keepNext w:val="0"/>
        <w:keepLines w:val="0"/>
        <w:pageBreakBefore w:val="0"/>
        <w:widowControl w:val="0"/>
        <w:kinsoku/>
        <w:wordWrap/>
        <w:overflowPunct/>
        <w:topLinePunct w:val="0"/>
        <w:autoSpaceDE w:val="0"/>
        <w:autoSpaceDN w:val="0"/>
        <w:bidi w:val="0"/>
        <w:adjustRightInd w:val="0"/>
        <w:snapToGrid/>
        <w:spacing w:line="600" w:lineRule="exact"/>
        <w:ind w:firstLine="0" w:firstLineChars="0"/>
        <w:jc w:val="center"/>
        <w:textAlignment w:val="auto"/>
        <w:rPr>
          <w:rFonts w:ascii="方正小标宋_GBK" w:eastAsia="方正小标宋_GBK"/>
        </w:rPr>
      </w:pPr>
      <w:r>
        <w:rPr>
          <w:rFonts w:hint="eastAsia" w:ascii="方正小标宋_GBK" w:hAnsi="宋体" w:eastAsia="方正小标宋_GBK" w:cs="宋体"/>
          <w:kern w:val="0"/>
          <w:sz w:val="44"/>
          <w:szCs w:val="44"/>
        </w:rPr>
        <w:t>无违法违规</w:t>
      </w:r>
      <w:r>
        <w:rPr>
          <w:rFonts w:hint="eastAsia" w:ascii="方正小标宋_GBK" w:hAnsi="宋体" w:eastAsia="方正小标宋_GBK" w:cs="宋体"/>
          <w:kern w:val="0"/>
          <w:sz w:val="44"/>
          <w:szCs w:val="44"/>
          <w:lang w:val="en-US" w:eastAsia="zh-CN"/>
        </w:rPr>
        <w:t>记录</w:t>
      </w:r>
      <w:r>
        <w:rPr>
          <w:rFonts w:hint="eastAsia" w:ascii="方正小标宋_GBK" w:hAnsi="宋体" w:eastAsia="方正小标宋_GBK" w:cs="宋体"/>
          <w:kern w:val="0"/>
          <w:sz w:val="44"/>
          <w:szCs w:val="44"/>
        </w:rPr>
        <w:t>证明实施方案</w:t>
      </w:r>
    </w:p>
    <w:p w14:paraId="4FC8C2B9">
      <w:pPr>
        <w:keepNext w:val="0"/>
        <w:keepLines w:val="0"/>
        <w:pageBreakBefore w:val="0"/>
        <w:widowControl w:val="0"/>
        <w:kinsoku/>
        <w:wordWrap/>
        <w:overflowPunct/>
        <w:topLinePunct w:val="0"/>
        <w:bidi w:val="0"/>
        <w:snapToGrid/>
        <w:spacing w:line="600" w:lineRule="exact"/>
        <w:ind w:firstLine="0" w:firstLineChars="0"/>
        <w:jc w:val="center"/>
        <w:textAlignment w:val="auto"/>
        <w:rPr>
          <w:rFonts w:hint="eastAsia" w:ascii="方正楷体_GBK" w:hAnsi="方正楷体_GBK" w:eastAsia="方正楷体_GBK" w:cs="方正楷体_GBK"/>
          <w:sz w:val="32"/>
          <w:szCs w:val="32"/>
        </w:rPr>
      </w:pPr>
      <w:r>
        <w:rPr>
          <w:rFonts w:hint="eastAsia" w:ascii="方正楷体_GBK" w:hAnsi="方正楷体_GBK" w:eastAsia="方正楷体_GBK" w:cs="方正楷体_GBK"/>
          <w:sz w:val="32"/>
          <w:szCs w:val="32"/>
        </w:rPr>
        <w:t>（征求意见稿）</w:t>
      </w:r>
    </w:p>
    <w:p w14:paraId="353DCE7B">
      <w:pPr>
        <w:keepNext w:val="0"/>
        <w:keepLines w:val="0"/>
        <w:pageBreakBefore w:val="0"/>
        <w:widowControl w:val="0"/>
        <w:kinsoku/>
        <w:wordWrap/>
        <w:overflowPunct/>
        <w:topLinePunct w:val="0"/>
        <w:bidi w:val="0"/>
        <w:snapToGrid/>
        <w:spacing w:line="600" w:lineRule="exact"/>
        <w:ind w:firstLine="640" w:firstLineChars="200"/>
        <w:textAlignment w:val="auto"/>
        <w:rPr>
          <w:rFonts w:ascii="方正仿宋_GBK" w:eastAsia="方正仿宋_GBK"/>
          <w:sz w:val="32"/>
          <w:szCs w:val="32"/>
        </w:rPr>
      </w:pPr>
    </w:p>
    <w:p w14:paraId="43E09D63">
      <w:pPr>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方正仿宋_GBK" w:eastAsia="方正仿宋_GBK"/>
          <w:sz w:val="32"/>
          <w:szCs w:val="32"/>
          <w:lang w:val="en-US" w:eastAsia="zh-CN"/>
        </w:rPr>
      </w:pPr>
      <w:r>
        <w:rPr>
          <w:rFonts w:hint="eastAsia" w:ascii="方正仿宋_GBK" w:eastAsia="方正仿宋_GBK"/>
          <w:sz w:val="32"/>
          <w:szCs w:val="32"/>
        </w:rPr>
        <w:t>为贯彻落实</w:t>
      </w:r>
      <w:r>
        <w:rPr>
          <w:rFonts w:hint="eastAsia" w:ascii="方正仿宋_GBK" w:eastAsia="方正仿宋_GBK"/>
          <w:sz w:val="32"/>
          <w:szCs w:val="32"/>
          <w:lang w:val="en-US" w:eastAsia="zh-CN"/>
        </w:rPr>
        <w:t>《中共</w:t>
      </w:r>
      <w:r>
        <w:rPr>
          <w:rFonts w:hint="eastAsia" w:ascii="方正仿宋_GBK" w:eastAsia="方正仿宋_GBK"/>
          <w:sz w:val="32"/>
          <w:szCs w:val="32"/>
        </w:rPr>
        <w:t>中央</w:t>
      </w:r>
      <w:r>
        <w:rPr>
          <w:rFonts w:hint="eastAsia" w:ascii="方正仿宋_GBK" w:eastAsia="方正仿宋_GBK"/>
          <w:sz w:val="32"/>
          <w:szCs w:val="32"/>
          <w:lang w:val="en-US" w:eastAsia="zh-CN"/>
        </w:rPr>
        <w:t>办公厅、</w:t>
      </w:r>
      <w:r>
        <w:rPr>
          <w:rFonts w:hint="eastAsia" w:ascii="方正仿宋_GBK" w:eastAsia="方正仿宋_GBK"/>
          <w:sz w:val="32"/>
          <w:szCs w:val="32"/>
        </w:rPr>
        <w:t>国务院</w:t>
      </w:r>
      <w:r>
        <w:rPr>
          <w:rFonts w:hint="eastAsia" w:ascii="方正仿宋_GBK" w:eastAsia="方正仿宋_GBK"/>
          <w:sz w:val="32"/>
          <w:szCs w:val="32"/>
          <w:lang w:val="en-US" w:eastAsia="zh-CN"/>
        </w:rPr>
        <w:t>办公厅关于健全社会信用体系建设的意见》和</w:t>
      </w:r>
      <w:r>
        <w:rPr>
          <w:rFonts w:hint="eastAsia" w:ascii="方正仿宋_GBK" w:eastAsia="方正仿宋_GBK"/>
          <w:sz w:val="32"/>
          <w:szCs w:val="32"/>
        </w:rPr>
        <w:t>《国家发展改革委</w:t>
      </w:r>
      <w:r>
        <w:rPr>
          <w:rFonts w:hint="eastAsia" w:ascii="方正仿宋_GBK" w:eastAsia="方正仿宋_GBK"/>
          <w:sz w:val="32"/>
          <w:szCs w:val="32"/>
          <w:lang w:eastAsia="zh-CN"/>
        </w:rPr>
        <w:t>、</w:t>
      </w:r>
      <w:r>
        <w:rPr>
          <w:rFonts w:hint="eastAsia" w:ascii="方正仿宋_GBK" w:eastAsia="方正仿宋_GBK"/>
          <w:sz w:val="32"/>
          <w:szCs w:val="32"/>
        </w:rPr>
        <w:t>公安部</w:t>
      </w:r>
      <w:r>
        <w:rPr>
          <w:rFonts w:hint="eastAsia" w:ascii="方正仿宋_GBK" w:eastAsia="方正仿宋_GBK"/>
          <w:sz w:val="32"/>
          <w:szCs w:val="32"/>
          <w:lang w:eastAsia="zh-CN"/>
        </w:rPr>
        <w:t>、</w:t>
      </w:r>
      <w:r>
        <w:rPr>
          <w:rFonts w:hint="eastAsia" w:ascii="方正仿宋_GBK" w:eastAsia="方正仿宋_GBK"/>
          <w:sz w:val="32"/>
          <w:szCs w:val="32"/>
        </w:rPr>
        <w:t>国家数据局关于全面推行以专项信用报告替代有无违法违规记录证明的通知》（发改财金〔</w:t>
      </w:r>
      <w:r>
        <w:rPr>
          <w:rFonts w:hint="default" w:ascii="Times New Roman" w:hAnsi="Times New Roman" w:eastAsia="方正仿宋_GBK" w:cs="Times New Roman"/>
          <w:sz w:val="32"/>
          <w:szCs w:val="32"/>
        </w:rPr>
        <w:t>2025〕565</w:t>
      </w:r>
      <w:r>
        <w:rPr>
          <w:rFonts w:hint="eastAsia" w:ascii="方正仿宋_GBK" w:eastAsia="方正仿宋_GBK"/>
          <w:sz w:val="32"/>
          <w:szCs w:val="32"/>
        </w:rPr>
        <w:t>号）要求，推进信用报告深度应用，缓解</w:t>
      </w:r>
      <w:r>
        <w:rPr>
          <w:rFonts w:hint="eastAsia" w:ascii="方正仿宋_GBK" w:eastAsia="方正仿宋_GBK"/>
          <w:sz w:val="32"/>
          <w:szCs w:val="32"/>
          <w:lang w:val="en-US" w:eastAsia="zh-CN"/>
        </w:rPr>
        <w:t>经营主体多部门</w:t>
      </w:r>
      <w:r>
        <w:rPr>
          <w:rFonts w:hint="eastAsia" w:ascii="方正仿宋_GBK" w:eastAsia="方正仿宋_GBK"/>
          <w:sz w:val="32"/>
          <w:szCs w:val="32"/>
        </w:rPr>
        <w:t>开具无违法</w:t>
      </w:r>
      <w:r>
        <w:rPr>
          <w:rFonts w:hint="eastAsia" w:ascii="方正仿宋_GBK" w:eastAsia="方正仿宋_GBK"/>
          <w:sz w:val="32"/>
          <w:szCs w:val="32"/>
          <w:lang w:val="en-US" w:eastAsia="zh-CN"/>
        </w:rPr>
        <w:t>违规</w:t>
      </w:r>
      <w:r>
        <w:rPr>
          <w:rFonts w:hint="eastAsia" w:ascii="方正仿宋_GBK" w:eastAsia="方正仿宋_GBK"/>
          <w:sz w:val="32"/>
          <w:szCs w:val="32"/>
        </w:rPr>
        <w:t>记录证明繁</w:t>
      </w:r>
      <w:r>
        <w:rPr>
          <w:rFonts w:hint="eastAsia" w:ascii="方正仿宋_GBK" w:eastAsia="方正仿宋_GBK"/>
          <w:sz w:val="32"/>
          <w:szCs w:val="32"/>
          <w:lang w:eastAsia="zh-CN"/>
        </w:rPr>
        <w:t>、</w:t>
      </w:r>
      <w:r>
        <w:rPr>
          <w:rFonts w:hint="eastAsia" w:ascii="方正仿宋_GBK" w:eastAsia="方正仿宋_GBK"/>
          <w:sz w:val="32"/>
          <w:szCs w:val="32"/>
        </w:rPr>
        <w:t>难等问题</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充分发挥信用体系</w:t>
      </w:r>
      <w:r>
        <w:rPr>
          <w:rFonts w:hint="eastAsia" w:ascii="方正仿宋_GBK" w:eastAsia="方正仿宋_GBK"/>
          <w:sz w:val="32"/>
          <w:szCs w:val="32"/>
        </w:rPr>
        <w:t>对提升行政效能、优化营商环境的作用，</w:t>
      </w:r>
      <w:r>
        <w:rPr>
          <w:rFonts w:hint="eastAsia" w:ascii="方正仿宋_GBK" w:eastAsia="方正仿宋_GBK"/>
          <w:sz w:val="32"/>
          <w:szCs w:val="32"/>
          <w:lang w:val="en-US" w:eastAsia="zh-CN"/>
        </w:rPr>
        <w:t>现就全省</w:t>
      </w:r>
      <w:r>
        <w:rPr>
          <w:rFonts w:hint="eastAsia" w:ascii="方正仿宋_GBK" w:eastAsia="方正仿宋_GBK"/>
          <w:sz w:val="32"/>
          <w:szCs w:val="32"/>
        </w:rPr>
        <w:t>推行经营主体以专项公共信用信息报告替代无违法违规</w:t>
      </w:r>
      <w:r>
        <w:rPr>
          <w:rFonts w:hint="eastAsia" w:ascii="方正仿宋_GBK" w:eastAsia="方正仿宋_GBK"/>
          <w:sz w:val="32"/>
          <w:szCs w:val="32"/>
          <w:lang w:eastAsia="zh-CN"/>
        </w:rPr>
        <w:t>记录</w:t>
      </w:r>
      <w:r>
        <w:rPr>
          <w:rFonts w:hint="eastAsia" w:ascii="方正仿宋_GBK" w:eastAsia="方正仿宋_GBK"/>
          <w:sz w:val="32"/>
          <w:szCs w:val="32"/>
        </w:rPr>
        <w:t>证明</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以下简称“信用代证”</w:t>
      </w:r>
      <w:r>
        <w:rPr>
          <w:rFonts w:hint="eastAsia" w:ascii="方正仿宋_GBK" w:eastAsia="方正仿宋_GBK"/>
          <w:sz w:val="32"/>
          <w:szCs w:val="32"/>
          <w:lang w:eastAsia="zh-CN"/>
        </w:rPr>
        <w:t>）</w:t>
      </w:r>
      <w:r>
        <w:rPr>
          <w:rFonts w:hint="eastAsia" w:ascii="方正仿宋_GBK" w:eastAsia="方正仿宋_GBK"/>
          <w:sz w:val="32"/>
          <w:szCs w:val="32"/>
        </w:rPr>
        <w:t>，制定本</w:t>
      </w:r>
      <w:r>
        <w:rPr>
          <w:rFonts w:hint="eastAsia" w:ascii="方正仿宋_GBK" w:eastAsia="方正仿宋_GBK"/>
          <w:sz w:val="32"/>
          <w:szCs w:val="32"/>
          <w:lang w:val="en-US" w:eastAsia="zh-CN"/>
        </w:rPr>
        <w:t>实施</w:t>
      </w:r>
      <w:r>
        <w:rPr>
          <w:rFonts w:hint="eastAsia" w:ascii="方正仿宋_GBK" w:eastAsia="方正仿宋_GBK"/>
          <w:sz w:val="32"/>
          <w:szCs w:val="32"/>
        </w:rPr>
        <w:t>方案。</w:t>
      </w:r>
    </w:p>
    <w:p w14:paraId="3C4E3322">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楷体_GBK" w:hAnsi="方正楷体_GBK" w:eastAsia="方正楷体_GBK" w:cs="方正楷体_GBK"/>
          <w:sz w:val="32"/>
          <w:szCs w:val="32"/>
          <w:lang w:val="en-US" w:eastAsia="zh-CN"/>
        </w:rPr>
      </w:pPr>
      <w:r>
        <w:rPr>
          <w:rFonts w:hint="eastAsia" w:ascii="方正黑体_GBK" w:eastAsia="方正黑体_GBK"/>
          <w:sz w:val="32"/>
          <w:szCs w:val="32"/>
        </w:rPr>
        <w:t>一、</w:t>
      </w:r>
      <w:r>
        <w:rPr>
          <w:rFonts w:hint="eastAsia" w:ascii="方正黑体_GBK" w:eastAsia="方正黑体_GBK"/>
          <w:sz w:val="32"/>
          <w:szCs w:val="32"/>
          <w:lang w:val="en-US" w:eastAsia="zh-CN"/>
        </w:rPr>
        <w:t>工作目标</w:t>
      </w:r>
    </w:p>
    <w:p w14:paraId="6D83F044">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方正仿宋_GBK" w:eastAsia="方正仿宋_GBK"/>
          <w:sz w:val="32"/>
          <w:szCs w:val="32"/>
          <w:lang w:val="en-US" w:eastAsia="zh-CN"/>
        </w:rPr>
        <w:t>依托省公共信用信息系统共享经营</w:t>
      </w:r>
      <w:r>
        <w:rPr>
          <w:rFonts w:hint="eastAsia" w:ascii="方正仿宋_GBK" w:eastAsia="方正仿宋_GBK"/>
          <w:sz w:val="32"/>
          <w:szCs w:val="32"/>
        </w:rPr>
        <w:t>主体</w:t>
      </w:r>
      <w:r>
        <w:rPr>
          <w:rFonts w:hint="eastAsia" w:ascii="方正仿宋_GBK" w:eastAsia="方正仿宋_GBK"/>
          <w:sz w:val="32"/>
          <w:szCs w:val="32"/>
          <w:lang w:val="en-US" w:eastAsia="zh-CN"/>
        </w:rPr>
        <w:t>违法违规行为信息，并依申请对报告期内经查询无违法违规记录的主体开具江苏省法人专项公共信用信息报告（无违法违规证明版）（以下简称“专项信用报告”），证明其报告期内在江苏省行政区域内相关领域无违法违规记录的情况，替代经营主体赴多个部门（单位）单独出具的无违法违规记录证明。</w:t>
      </w:r>
    </w:p>
    <w:p w14:paraId="50084BC0">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Times New Roman" w:hAnsi="Times New Roman" w:eastAsia="方正仿宋_GBK" w:cs="Times New Roman"/>
          <w:sz w:val="32"/>
          <w:szCs w:val="32"/>
          <w:lang w:val="en-US" w:eastAsia="zh-CN"/>
        </w:rPr>
        <w:t>2025年9月1日</w:t>
      </w:r>
      <w:r>
        <w:rPr>
          <w:rFonts w:hint="eastAsia" w:ascii="方正仿宋_GBK" w:eastAsia="方正仿宋_GBK"/>
          <w:sz w:val="32"/>
          <w:szCs w:val="32"/>
          <w:lang w:val="en-US" w:eastAsia="zh-CN"/>
        </w:rPr>
        <w:t>起，在全省推行“信用代证”，除法律法规规定必须出具证明外，不再要求经营主体重复提供相关证明，提升经营主体获得感。</w:t>
      </w:r>
      <w:r>
        <w:rPr>
          <w:rFonts w:hint="eastAsia" w:ascii="Times New Roman" w:hAnsi="Times New Roman" w:eastAsia="方正仿宋_GBK" w:cs="Times New Roman"/>
          <w:sz w:val="32"/>
          <w:szCs w:val="32"/>
          <w:lang w:val="en-US" w:eastAsia="zh-CN"/>
        </w:rPr>
        <w:t>2025年9月1—30</w:t>
      </w:r>
      <w:r>
        <w:rPr>
          <w:rFonts w:hint="eastAsia" w:ascii="方正仿宋_GBK" w:eastAsia="方正仿宋_GBK"/>
          <w:sz w:val="32"/>
          <w:szCs w:val="32"/>
          <w:lang w:val="en-US" w:eastAsia="zh-CN"/>
        </w:rPr>
        <w:t>日为试行期，</w:t>
      </w:r>
      <w:r>
        <w:rPr>
          <w:rFonts w:hint="eastAsia" w:ascii="Times New Roman" w:hAnsi="Times New Roman" w:eastAsia="方正仿宋_GBK" w:cs="Times New Roman"/>
          <w:sz w:val="32"/>
          <w:szCs w:val="32"/>
          <w:lang w:val="en-US" w:eastAsia="zh-CN"/>
        </w:rPr>
        <w:t>2025</w:t>
      </w:r>
      <w:r>
        <w:rPr>
          <w:rFonts w:hint="eastAsia" w:ascii="方正仿宋_GBK" w:eastAsia="方正仿宋_GBK"/>
          <w:sz w:val="32"/>
          <w:szCs w:val="32"/>
          <w:lang w:val="en-US" w:eastAsia="zh-CN"/>
        </w:rPr>
        <w:t>年</w:t>
      </w:r>
      <w:r>
        <w:rPr>
          <w:rFonts w:hint="eastAsia" w:ascii="Times New Roman" w:hAnsi="Times New Roman" w:eastAsia="方正仿宋_GBK" w:cs="Times New Roman"/>
          <w:sz w:val="32"/>
          <w:szCs w:val="32"/>
          <w:lang w:val="en-US" w:eastAsia="zh-CN"/>
        </w:rPr>
        <w:t>10月1日</w:t>
      </w:r>
      <w:r>
        <w:rPr>
          <w:rFonts w:hint="eastAsia" w:ascii="方正仿宋_GBK" w:eastAsia="方正仿宋_GBK"/>
          <w:sz w:val="32"/>
          <w:szCs w:val="32"/>
          <w:lang w:val="en-US" w:eastAsia="zh-CN"/>
        </w:rPr>
        <w:t>起在全省全面推行。</w:t>
      </w:r>
    </w:p>
    <w:p w14:paraId="5F6B14B9">
      <w:pPr>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方正黑体_GBK" w:eastAsia="方正黑体_GBK"/>
          <w:sz w:val="32"/>
          <w:szCs w:val="32"/>
          <w:lang w:val="en-US" w:eastAsia="zh-CN"/>
        </w:rPr>
      </w:pPr>
      <w:r>
        <w:rPr>
          <w:rFonts w:hint="eastAsia" w:ascii="方正黑体_GBK" w:eastAsia="方正黑体_GBK"/>
          <w:sz w:val="32"/>
          <w:szCs w:val="32"/>
          <w:lang w:val="en-US" w:eastAsia="zh-CN"/>
        </w:rPr>
        <w:t>二、实施范围</w:t>
      </w:r>
    </w:p>
    <w:p w14:paraId="68EA1B81">
      <w:pPr>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方正仿宋_GBK" w:eastAsia="方正仿宋_GBK"/>
          <w:sz w:val="32"/>
          <w:szCs w:val="32"/>
          <w:lang w:val="en-US" w:eastAsia="zh-CN"/>
        </w:rPr>
      </w:pPr>
      <w:r>
        <w:rPr>
          <w:rFonts w:hint="eastAsia" w:ascii="方正楷体_GBK" w:hAnsi="方正楷体_GBK" w:eastAsia="方正楷体_GBK" w:cs="方正楷体_GBK"/>
          <w:sz w:val="32"/>
          <w:szCs w:val="32"/>
          <w:lang w:val="en-US" w:eastAsia="zh-CN"/>
        </w:rPr>
        <w:t>（一）适用对象。</w:t>
      </w:r>
      <w:r>
        <w:rPr>
          <w:rFonts w:hint="eastAsia" w:ascii="方正仿宋_GBK" w:eastAsia="方正仿宋_GBK"/>
          <w:sz w:val="32"/>
          <w:szCs w:val="32"/>
          <w:lang w:val="en-US" w:eastAsia="zh-CN"/>
        </w:rPr>
        <w:t>本方案所称经营主体包括公司、个体工商户、农民专业合作社。有条件的设区市可以将“信用代证”拓展至社会组织和自然人。</w:t>
      </w:r>
    </w:p>
    <w:p w14:paraId="26F457DA">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方正楷体_GBK" w:hAnsi="方正楷体_GBK" w:eastAsia="方正楷体_GBK" w:cs="方正楷体_GBK"/>
          <w:sz w:val="32"/>
          <w:szCs w:val="32"/>
          <w:lang w:val="en-US" w:eastAsia="zh-CN"/>
        </w:rPr>
        <w:t>（二）涵盖范围</w:t>
      </w:r>
      <w:r>
        <w:rPr>
          <w:rFonts w:hint="eastAsia" w:ascii="方正仿宋_GBK" w:eastAsia="方正仿宋_GBK"/>
          <w:sz w:val="32"/>
          <w:szCs w:val="32"/>
          <w:lang w:val="en-US" w:eastAsia="zh-CN"/>
        </w:rPr>
        <w:t>。本方案所指违法违规记录是指全省行政机关、法律法规授权的具有管理公共事务职能的组织、有关中央在苏垂直管理单位、有关司法机关等对经营主体违反法律、法规、规章行为的客观记载，包括</w:t>
      </w:r>
      <w:r>
        <w:rPr>
          <w:rFonts w:hint="eastAsia" w:ascii="方正仿宋_GBK" w:eastAsia="方正仿宋_GBK"/>
          <w:sz w:val="32"/>
          <w:szCs w:val="32"/>
          <w:highlight w:val="none"/>
          <w:lang w:val="en-US" w:eastAsia="zh-CN"/>
        </w:rPr>
        <w:t>行政处罚（普通程序）信息、严重失信主体名单信息和</w:t>
      </w:r>
      <w:r>
        <w:rPr>
          <w:rFonts w:hint="eastAsia" w:ascii="方正仿宋_GBK" w:eastAsia="方正仿宋_GBK"/>
          <w:color w:val="auto"/>
          <w:sz w:val="32"/>
          <w:szCs w:val="32"/>
          <w:lang w:val="en-US" w:eastAsia="zh-CN"/>
        </w:rPr>
        <w:t>刑事裁判（犯罪记录）</w:t>
      </w:r>
      <w:r>
        <w:rPr>
          <w:rFonts w:hint="eastAsia" w:ascii="方正仿宋_GBK" w:eastAsia="方正仿宋_GBK"/>
          <w:sz w:val="32"/>
          <w:szCs w:val="32"/>
          <w:highlight w:val="none"/>
          <w:lang w:val="en-US" w:eastAsia="zh-CN"/>
        </w:rPr>
        <w:t>，涵盖时间</w:t>
      </w:r>
      <w:r>
        <w:rPr>
          <w:rFonts w:hint="eastAsia" w:ascii="方正仿宋_GBK" w:eastAsia="方正仿宋_GBK"/>
          <w:sz w:val="32"/>
          <w:szCs w:val="32"/>
          <w:lang w:val="en-US" w:eastAsia="zh-CN"/>
        </w:rPr>
        <w:t>原则上为三年。</w:t>
      </w:r>
    </w:p>
    <w:p w14:paraId="15AF5CA9">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方正仿宋_GBK" w:eastAsia="方正仿宋_GBK"/>
          <w:sz w:val="32"/>
          <w:szCs w:val="32"/>
          <w:lang w:val="en-US" w:eastAsia="zh-CN"/>
        </w:rPr>
        <w:t>经营主体可根据应用场景需要，自行选择专项信用报告是否涵盖行政处罚（简易程序）信息、行政强制信息。</w:t>
      </w:r>
    </w:p>
    <w:p w14:paraId="769023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方正楷体_GBK" w:hAnsi="方正楷体_GBK" w:eastAsia="方正楷体_GBK" w:cs="方正楷体_GBK"/>
          <w:sz w:val="32"/>
          <w:szCs w:val="32"/>
          <w:lang w:val="en-US" w:eastAsia="zh-CN"/>
        </w:rPr>
        <w:t>（三）适用领域。</w:t>
      </w:r>
      <w:r>
        <w:rPr>
          <w:rFonts w:hint="eastAsia" w:ascii="方正仿宋_GBK" w:eastAsia="方正仿宋_GBK"/>
          <w:sz w:val="32"/>
          <w:szCs w:val="32"/>
          <w:lang w:val="en-US" w:eastAsia="zh-CN"/>
        </w:rPr>
        <w:t>首批在全省推行专项信用报告替代</w:t>
      </w:r>
      <w:r>
        <w:rPr>
          <w:rFonts w:hint="eastAsia" w:ascii="Times New Roman" w:hAnsi="Times New Roman" w:eastAsia="方正仿宋_GBK" w:cs="Times New Roman"/>
          <w:sz w:val="32"/>
          <w:szCs w:val="32"/>
          <w:lang w:val="en-US" w:eastAsia="zh-CN"/>
        </w:rPr>
        <w:t>46</w:t>
      </w:r>
      <w:r>
        <w:rPr>
          <w:rFonts w:hint="eastAsia" w:ascii="方正仿宋_GBK" w:eastAsia="方正仿宋_GBK"/>
          <w:sz w:val="32"/>
          <w:szCs w:val="32"/>
          <w:lang w:val="en-US" w:eastAsia="zh-CN"/>
        </w:rPr>
        <w:t>个部门（领域）出具的无违法违规记录证明，包括：法院、发展改革、教育、科技、工信、民族宗教、公安、民政、司法行政、财政、人力资源和社会保障、自然资源、生态环境、住房和城乡建设、交通运输、水利、农业农村、商务、文化和旅游、卫生健康、退役军人事务、应急管理、数据管理、市场监管、广播电视、体育、统计、医疗保障、地方金融监管、能源、粮食和物资储备、药品监管、知识产权、消防安全、国防动员、税务、气象、地震、林业、邮政、烟草、海事、城市管理、银行保险、证券、综合执法。按照“应替尽替”原则，视相关部门（领域）数据共享情况逐步将涉及出具无违法违规记录证明的领域全部纳入替代范围。</w:t>
      </w:r>
    </w:p>
    <w:p w14:paraId="518D8FD7">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val="en-US" w:eastAsia="zh-CN"/>
        </w:rPr>
      </w:pPr>
      <w:r>
        <w:rPr>
          <w:rFonts w:hint="eastAsia" w:ascii="方正楷体_GBK" w:hAnsi="方正楷体_GBK" w:eastAsia="方正楷体_GBK" w:cs="方正楷体_GBK"/>
          <w:sz w:val="32"/>
          <w:szCs w:val="32"/>
          <w:lang w:val="en-US" w:eastAsia="zh-CN"/>
        </w:rPr>
        <w:t>（四）适用场景。</w:t>
      </w:r>
      <w:r>
        <w:rPr>
          <w:rFonts w:hint="eastAsia" w:ascii="方正仿宋_GBK" w:eastAsia="方正仿宋_GBK"/>
          <w:sz w:val="32"/>
          <w:szCs w:val="32"/>
          <w:lang w:val="en-US" w:eastAsia="zh-CN"/>
        </w:rPr>
        <w:t>专项信用报告主要应用于需出具无违法违规记录证明的场景。各地各部门要依法依规拓展应用场景，在行政审批、申请优惠政策、评优评先等公共管理和服务事项以及招标投标、融资授信、商业往来等市场交易活动中推广“信用代证”工作。</w:t>
      </w:r>
    </w:p>
    <w:p w14:paraId="4C821B15">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三、主要任务</w:t>
      </w:r>
    </w:p>
    <w:p w14:paraId="311F2FDA">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lang w:eastAsia="zh-CN"/>
        </w:rPr>
      </w:pPr>
      <w:r>
        <w:rPr>
          <w:rFonts w:hint="eastAsia" w:ascii="方正楷体_GBK" w:eastAsia="方正楷体_GBK"/>
          <w:sz w:val="32"/>
          <w:szCs w:val="32"/>
        </w:rPr>
        <w:t>（一）</w:t>
      </w:r>
      <w:r>
        <w:rPr>
          <w:rFonts w:hint="eastAsia" w:ascii="方正楷体_GBK" w:eastAsia="方正楷体_GBK"/>
          <w:sz w:val="32"/>
          <w:szCs w:val="32"/>
          <w:lang w:val="en-US" w:eastAsia="zh-CN"/>
        </w:rPr>
        <w:t>强化</w:t>
      </w:r>
      <w:r>
        <w:rPr>
          <w:rFonts w:hint="eastAsia" w:ascii="方正楷体_GBK" w:eastAsia="方正楷体_GBK"/>
          <w:sz w:val="32"/>
          <w:szCs w:val="32"/>
        </w:rPr>
        <w:t>信息共享。</w:t>
      </w:r>
      <w:r>
        <w:rPr>
          <w:rFonts w:hint="eastAsia" w:ascii="Times New Roman" w:hAnsi="Times New Roman" w:eastAsia="方正仿宋_GBK" w:cs="Times New Roman"/>
          <w:sz w:val="32"/>
          <w:szCs w:val="32"/>
          <w:lang w:val="en-US" w:eastAsia="zh-CN"/>
        </w:rPr>
        <w:t>2025年8月31</w:t>
      </w:r>
      <w:r>
        <w:rPr>
          <w:rFonts w:hint="eastAsia" w:ascii="方正仿宋_GBK" w:eastAsia="方正仿宋_GBK"/>
          <w:sz w:val="32"/>
          <w:szCs w:val="32"/>
          <w:lang w:val="en-US" w:eastAsia="zh-CN"/>
        </w:rPr>
        <w:t>日前，有关信息产生部门（单位）负责采集归集专项信用报告需核查的信息，</w:t>
      </w:r>
      <w:bookmarkStart w:id="0" w:name="_GoBack"/>
      <w:bookmarkEnd w:id="0"/>
      <w:r>
        <w:rPr>
          <w:rFonts w:hint="eastAsia" w:ascii="方正仿宋_GBK" w:eastAsia="方正仿宋_GBK"/>
          <w:sz w:val="32"/>
          <w:szCs w:val="32"/>
          <w:lang w:val="en-US" w:eastAsia="zh-CN"/>
        </w:rPr>
        <w:t>及时共享至省公共信用信息系统，并对数据的全面性、真实性、及时性和准确性负责，确保专项信用报告客观真实反映经营主体信用状况。</w:t>
      </w:r>
    </w:p>
    <w:p w14:paraId="7045758A">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r>
        <w:rPr>
          <w:rFonts w:hint="eastAsia" w:ascii="方正楷体_GBK" w:eastAsia="方正楷体_GBK"/>
          <w:sz w:val="32"/>
          <w:szCs w:val="32"/>
        </w:rPr>
        <w:t>（二）</w:t>
      </w:r>
      <w:r>
        <w:rPr>
          <w:rFonts w:hint="eastAsia" w:ascii="方正楷体_GBK" w:eastAsia="方正楷体_GBK"/>
          <w:sz w:val="32"/>
          <w:szCs w:val="32"/>
          <w:lang w:val="en-US" w:eastAsia="zh-CN"/>
        </w:rPr>
        <w:t>完善系统</w:t>
      </w:r>
      <w:r>
        <w:rPr>
          <w:rFonts w:ascii="方正楷体_GBK" w:eastAsia="方正楷体_GBK"/>
          <w:sz w:val="32"/>
          <w:szCs w:val="32"/>
        </w:rPr>
        <w:t>功能。</w:t>
      </w:r>
      <w:r>
        <w:rPr>
          <w:rFonts w:hint="eastAsia" w:ascii="方正仿宋_GBK" w:eastAsia="方正仿宋_GBK"/>
          <w:sz w:val="32"/>
          <w:szCs w:val="32"/>
          <w:lang w:val="en-US" w:eastAsia="zh-CN"/>
        </w:rPr>
        <w:t>依托</w:t>
      </w:r>
      <w:r>
        <w:rPr>
          <w:rFonts w:hint="eastAsia" w:ascii="方正仿宋_GBK" w:eastAsia="方正仿宋_GBK"/>
          <w:sz w:val="32"/>
          <w:szCs w:val="32"/>
        </w:rPr>
        <w:t>“信用江苏”网站开发专项信用报告服务</w:t>
      </w:r>
      <w:r>
        <w:rPr>
          <w:rFonts w:hint="eastAsia" w:ascii="方正仿宋_GBK" w:eastAsia="方正仿宋_GBK"/>
          <w:sz w:val="32"/>
          <w:szCs w:val="32"/>
          <w:lang w:val="en-US" w:eastAsia="zh-CN"/>
        </w:rPr>
        <w:t>专栏</w:t>
      </w:r>
      <w:r>
        <w:rPr>
          <w:rFonts w:hint="eastAsia" w:ascii="方正仿宋_GBK" w:eastAsia="方正仿宋_GBK"/>
          <w:sz w:val="32"/>
          <w:szCs w:val="32"/>
        </w:rPr>
        <w:t>，为经营主体提供一键查询、下载、打印</w:t>
      </w:r>
      <w:r>
        <w:rPr>
          <w:rFonts w:hint="eastAsia" w:ascii="方正仿宋_GBK" w:eastAsia="方正仿宋_GBK"/>
          <w:sz w:val="32"/>
          <w:szCs w:val="32"/>
          <w:lang w:val="en-US" w:eastAsia="zh-CN"/>
        </w:rPr>
        <w:t>及</w:t>
      </w:r>
      <w:r>
        <w:rPr>
          <w:rFonts w:hint="eastAsia" w:ascii="方正仿宋_GBK" w:eastAsia="方正仿宋_GBK"/>
          <w:sz w:val="32"/>
          <w:szCs w:val="32"/>
        </w:rPr>
        <w:t>真实性验证服务。</w:t>
      </w:r>
      <w:r>
        <w:rPr>
          <w:rFonts w:hint="eastAsia" w:ascii="方正仿宋_GBK" w:eastAsia="方正仿宋_GBK"/>
          <w:sz w:val="32"/>
          <w:szCs w:val="32"/>
          <w:lang w:val="en-US" w:eastAsia="zh-CN"/>
        </w:rPr>
        <w:t>“苏服办”平台以及各级政务服务窗口、自助终端同步开通</w:t>
      </w:r>
      <w:r>
        <w:rPr>
          <w:rFonts w:hint="eastAsia" w:ascii="方正仿宋_GBK" w:eastAsia="方正仿宋_GBK"/>
          <w:sz w:val="32"/>
          <w:szCs w:val="32"/>
        </w:rPr>
        <w:t>专项信用报告</w:t>
      </w:r>
      <w:r>
        <w:rPr>
          <w:rFonts w:hint="eastAsia" w:ascii="方正仿宋_GBK" w:eastAsia="方正仿宋_GBK"/>
          <w:sz w:val="32"/>
          <w:szCs w:val="32"/>
          <w:lang w:val="en-US" w:eastAsia="zh-CN"/>
        </w:rPr>
        <w:t>服务功能，</w:t>
      </w:r>
      <w:r>
        <w:rPr>
          <w:rFonts w:hint="eastAsia" w:ascii="方正仿宋_GBK" w:eastAsia="方正仿宋_GBK"/>
          <w:sz w:val="32"/>
          <w:szCs w:val="32"/>
        </w:rPr>
        <w:t>公布办事指南、操作流程</w:t>
      </w:r>
      <w:r>
        <w:rPr>
          <w:rFonts w:hint="eastAsia" w:ascii="方正仿宋_GBK" w:eastAsia="方正仿宋_GBK"/>
          <w:sz w:val="32"/>
          <w:szCs w:val="32"/>
          <w:lang w:val="en-US" w:eastAsia="zh-CN"/>
        </w:rPr>
        <w:t>，提供线上线下“全覆盖、全天候”服务。</w:t>
      </w:r>
      <w:r>
        <w:rPr>
          <w:rFonts w:hint="eastAsia" w:ascii="方正仿宋_GBK" w:eastAsia="方正仿宋_GBK"/>
          <w:sz w:val="32"/>
          <w:szCs w:val="32"/>
        </w:rPr>
        <w:t>持续做好系统运维保障工作，确保安全稳定、高效运行。</w:t>
      </w:r>
    </w:p>
    <w:p w14:paraId="1DC82918">
      <w:pPr>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方正仿宋_GBK" w:eastAsia="方正仿宋_GBK"/>
          <w:sz w:val="32"/>
          <w:szCs w:val="32"/>
          <w:lang w:val="en-US"/>
        </w:rPr>
      </w:pPr>
      <w:r>
        <w:rPr>
          <w:rFonts w:hint="eastAsia" w:ascii="方正楷体_GBK" w:eastAsia="方正楷体_GBK" w:hAnsiTheme="minorHAnsi"/>
          <w:bCs w:val="0"/>
          <w:sz w:val="32"/>
          <w:szCs w:val="32"/>
          <w:lang w:eastAsia="zh-CN"/>
        </w:rPr>
        <w:t>（</w:t>
      </w:r>
      <w:r>
        <w:rPr>
          <w:rFonts w:hint="eastAsia" w:ascii="方正楷体_GBK" w:eastAsia="方正楷体_GBK" w:hAnsiTheme="minorHAnsi"/>
          <w:bCs w:val="0"/>
          <w:sz w:val="32"/>
          <w:szCs w:val="32"/>
          <w:lang w:val="en-US" w:eastAsia="zh-CN"/>
        </w:rPr>
        <w:t>三</w:t>
      </w:r>
      <w:r>
        <w:rPr>
          <w:rFonts w:hint="eastAsia" w:ascii="方正楷体_GBK" w:eastAsia="方正楷体_GBK" w:hAnsiTheme="minorHAnsi"/>
          <w:bCs w:val="0"/>
          <w:sz w:val="32"/>
          <w:szCs w:val="32"/>
          <w:lang w:eastAsia="zh-CN"/>
        </w:rPr>
        <w:t>）</w:t>
      </w:r>
      <w:r>
        <w:rPr>
          <w:rFonts w:hint="eastAsia" w:ascii="方正楷体_GBK" w:eastAsia="方正楷体_GBK" w:hAnsiTheme="minorHAnsi"/>
          <w:bCs w:val="0"/>
          <w:sz w:val="32"/>
          <w:szCs w:val="32"/>
        </w:rPr>
        <w:t>提高服务质效</w:t>
      </w:r>
      <w:r>
        <w:rPr>
          <w:rFonts w:hint="eastAsia" w:ascii="方正楷体_GBK" w:eastAsia="方正楷体_GBK" w:hAnsiTheme="minorHAnsi"/>
          <w:bCs w:val="0"/>
          <w:sz w:val="32"/>
          <w:szCs w:val="32"/>
          <w:lang w:eastAsia="zh-CN"/>
        </w:rPr>
        <w:t>。</w:t>
      </w:r>
      <w:r>
        <w:rPr>
          <w:rFonts w:hint="eastAsia" w:ascii="方正仿宋_GBK" w:eastAsia="方正仿宋_GBK"/>
          <w:sz w:val="32"/>
          <w:szCs w:val="32"/>
          <w:lang w:val="en-US" w:eastAsia="zh-CN"/>
        </w:rPr>
        <w:t>不断优化提升专项信用报告适用性，支持经营主体</w:t>
      </w:r>
      <w:r>
        <w:rPr>
          <w:rFonts w:hint="eastAsia" w:ascii="方正仿宋_GBK" w:eastAsia="方正仿宋_GBK"/>
          <w:sz w:val="32"/>
          <w:szCs w:val="32"/>
        </w:rPr>
        <w:t>自主选择专项信用报告查询领域和时间跨度</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支持报告应用方依授权查询专项信用报告</w:t>
      </w:r>
      <w:r>
        <w:rPr>
          <w:rFonts w:hint="eastAsia" w:ascii="方正仿宋_GBK" w:eastAsia="方正仿宋_GBK"/>
          <w:sz w:val="32"/>
          <w:szCs w:val="32"/>
        </w:rPr>
        <w:t>。</w:t>
      </w:r>
      <w:r>
        <w:rPr>
          <w:rFonts w:hint="eastAsia" w:ascii="方正仿宋_GBK" w:eastAsia="方正仿宋_GBK"/>
          <w:sz w:val="32"/>
          <w:szCs w:val="32"/>
          <w:lang w:val="en-US" w:eastAsia="zh-CN"/>
        </w:rPr>
        <w:t>鼓励通过经营主体亮码、报告应用方扫码的方式查看经营主体专项信用报告。持续推行信用查询、信用报告服务，对有失信信息或者失信信息已修复的，可申请其他专版信用报告，保障所有经营主体信息查询权。</w:t>
      </w:r>
    </w:p>
    <w:p w14:paraId="799D53D6">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r>
        <w:rPr>
          <w:rFonts w:hint="eastAsia" w:ascii="方正楷体_GBK" w:eastAsia="方正楷体_GBK"/>
          <w:sz w:val="32"/>
          <w:szCs w:val="32"/>
        </w:rPr>
        <w:t>（</w:t>
      </w:r>
      <w:r>
        <w:rPr>
          <w:rFonts w:hint="eastAsia" w:ascii="方正楷体_GBK" w:eastAsia="方正楷体_GBK"/>
          <w:sz w:val="32"/>
          <w:szCs w:val="32"/>
          <w:lang w:val="en-US" w:eastAsia="zh-CN"/>
        </w:rPr>
        <w:t>四</w:t>
      </w:r>
      <w:r>
        <w:rPr>
          <w:rFonts w:hint="eastAsia" w:ascii="方正楷体_GBK" w:eastAsia="方正楷体_GBK"/>
          <w:sz w:val="32"/>
          <w:szCs w:val="32"/>
        </w:rPr>
        <w:t>）</w:t>
      </w:r>
      <w:r>
        <w:rPr>
          <w:rFonts w:hint="eastAsia" w:ascii="方正楷体_GBK" w:eastAsia="方正楷体_GBK"/>
          <w:sz w:val="32"/>
          <w:szCs w:val="32"/>
          <w:lang w:val="en-US" w:eastAsia="zh-CN"/>
        </w:rPr>
        <w:t>深化拓展</w:t>
      </w:r>
      <w:r>
        <w:rPr>
          <w:rFonts w:hint="eastAsia" w:ascii="方正楷体_GBK" w:eastAsia="方正楷体_GBK"/>
          <w:sz w:val="32"/>
          <w:szCs w:val="32"/>
        </w:rPr>
        <w:t>应用</w:t>
      </w:r>
      <w:r>
        <w:rPr>
          <w:rFonts w:hint="eastAsia" w:ascii="方正仿宋_GBK" w:eastAsia="方正仿宋_GBK"/>
          <w:sz w:val="32"/>
          <w:szCs w:val="32"/>
        </w:rPr>
        <w:t>。持续迭代专项信用报告</w:t>
      </w:r>
      <w:r>
        <w:rPr>
          <w:rFonts w:hint="eastAsia" w:ascii="方正仿宋_GBK" w:eastAsia="方正仿宋_GBK"/>
          <w:sz w:val="32"/>
          <w:szCs w:val="32"/>
          <w:lang w:eastAsia="zh-CN"/>
        </w:rPr>
        <w:t>，</w:t>
      </w:r>
      <w:r>
        <w:rPr>
          <w:rFonts w:hint="eastAsia" w:ascii="方正仿宋_GBK" w:eastAsia="方正仿宋_GBK"/>
          <w:sz w:val="32"/>
          <w:szCs w:val="32"/>
        </w:rPr>
        <w:t>依法拓展专项信用报告的应用范围、应用场景，为经营主体提供便利。探索开展省际合作，推动专项信用报告跨省通办、省际互认。</w:t>
      </w:r>
      <w:r>
        <w:rPr>
          <w:rFonts w:hint="eastAsia" w:ascii="方正仿宋_GBK" w:eastAsia="方正仿宋_GBK"/>
          <w:sz w:val="32"/>
          <w:szCs w:val="32"/>
          <w:lang w:val="en-US" w:eastAsia="zh-CN"/>
        </w:rPr>
        <w:t>深化信用分级分类监管，对信用状况好的经营主体大力实施守信激励措施。</w:t>
      </w:r>
      <w:r>
        <w:rPr>
          <w:rFonts w:hint="eastAsia" w:ascii="方正仿宋_GBK" w:eastAsia="方正仿宋_GBK"/>
          <w:sz w:val="32"/>
          <w:szCs w:val="32"/>
        </w:rPr>
        <w:t>鼓励经营主体在经济社会活动中使用专项信用报告</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主动“亮码”，提升企业诚信形象</w:t>
      </w:r>
      <w:r>
        <w:rPr>
          <w:rFonts w:hint="eastAsia" w:ascii="方正仿宋_GBK" w:eastAsia="方正仿宋_GBK"/>
          <w:sz w:val="32"/>
          <w:szCs w:val="32"/>
        </w:rPr>
        <w:t>。</w:t>
      </w:r>
    </w:p>
    <w:p w14:paraId="329FF599">
      <w:pPr>
        <w:keepNext w:val="0"/>
        <w:keepLines w:val="0"/>
        <w:pageBreakBefore w:val="0"/>
        <w:widowControl w:val="0"/>
        <w:kinsoku/>
        <w:wordWrap/>
        <w:overflowPunct/>
        <w:topLinePunct w:val="0"/>
        <w:bidi w:val="0"/>
        <w:snapToGrid/>
        <w:spacing w:line="600" w:lineRule="exact"/>
        <w:ind w:firstLine="640" w:firstLineChars="200"/>
        <w:textAlignment w:val="auto"/>
        <w:rPr>
          <w:rFonts w:ascii="方正黑体_GBK" w:eastAsia="方正黑体_GBK"/>
          <w:sz w:val="32"/>
          <w:szCs w:val="32"/>
        </w:rPr>
      </w:pPr>
      <w:r>
        <w:rPr>
          <w:rFonts w:hint="eastAsia" w:ascii="方正黑体_GBK" w:eastAsia="方正黑体_GBK"/>
          <w:sz w:val="32"/>
          <w:szCs w:val="32"/>
        </w:rPr>
        <w:t>四</w:t>
      </w:r>
      <w:r>
        <w:rPr>
          <w:rFonts w:ascii="方正黑体_GBK" w:eastAsia="方正黑体_GBK"/>
          <w:sz w:val="32"/>
          <w:szCs w:val="32"/>
        </w:rPr>
        <w:t>、</w:t>
      </w:r>
      <w:r>
        <w:rPr>
          <w:rFonts w:hint="eastAsia" w:ascii="方正黑体_GBK" w:eastAsia="方正黑体_GBK"/>
          <w:sz w:val="32"/>
          <w:szCs w:val="32"/>
        </w:rPr>
        <w:t>保障措施</w:t>
      </w:r>
    </w:p>
    <w:p w14:paraId="03104C15">
      <w:pPr>
        <w:keepNext w:val="0"/>
        <w:keepLines w:val="0"/>
        <w:pageBreakBefore w:val="0"/>
        <w:widowControl w:val="0"/>
        <w:kinsoku/>
        <w:wordWrap/>
        <w:overflowPunct/>
        <w:topLinePunct w:val="0"/>
        <w:bidi w:val="0"/>
        <w:snapToGrid/>
        <w:spacing w:line="60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（一）加强</w:t>
      </w:r>
      <w:r>
        <w:rPr>
          <w:rFonts w:hint="eastAsia" w:ascii="方正楷体_GBK" w:eastAsia="方正楷体_GBK"/>
          <w:sz w:val="32"/>
          <w:szCs w:val="32"/>
          <w:lang w:eastAsia="zh-CN"/>
        </w:rPr>
        <w:t>工作</w:t>
      </w:r>
      <w:r>
        <w:rPr>
          <w:rFonts w:ascii="方正楷体_GBK" w:eastAsia="方正楷体_GBK"/>
          <w:sz w:val="32"/>
          <w:szCs w:val="32"/>
        </w:rPr>
        <w:t>组织实施</w:t>
      </w:r>
      <w:r>
        <w:rPr>
          <w:rFonts w:hint="eastAsia" w:ascii="方正楷体_GBK" w:eastAsia="方正楷体_GBK"/>
          <w:sz w:val="32"/>
          <w:szCs w:val="32"/>
        </w:rPr>
        <w:t>。</w:t>
      </w:r>
      <w:r>
        <w:rPr>
          <w:rFonts w:hint="eastAsia" w:eastAsia="方正仿宋_GBK"/>
          <w:sz w:val="32"/>
          <w:szCs w:val="32"/>
        </w:rPr>
        <w:t>省级层面建立</w:t>
      </w:r>
      <w:r>
        <w:rPr>
          <w:rFonts w:hint="eastAsia" w:eastAsia="方正仿宋_GBK"/>
          <w:sz w:val="32"/>
          <w:szCs w:val="32"/>
          <w:lang w:val="en-US" w:eastAsia="zh-CN"/>
        </w:rPr>
        <w:t>跨部门协同推进</w:t>
      </w:r>
      <w:r>
        <w:rPr>
          <w:rFonts w:hint="eastAsia" w:eastAsia="方正仿宋_GBK"/>
          <w:sz w:val="32"/>
          <w:szCs w:val="32"/>
        </w:rPr>
        <w:t>机制，加强密切协作，形成工作合力。</w:t>
      </w:r>
      <w:r>
        <w:rPr>
          <w:rFonts w:hint="eastAsia" w:ascii="方正仿宋_GBK" w:eastAsia="方正仿宋_GBK"/>
          <w:sz w:val="32"/>
          <w:szCs w:val="32"/>
        </w:rPr>
        <w:t>省</w:t>
      </w:r>
      <w:r>
        <w:rPr>
          <w:rFonts w:hint="eastAsia" w:ascii="方正仿宋_GBK" w:eastAsia="方正仿宋_GBK"/>
          <w:sz w:val="32"/>
          <w:szCs w:val="32"/>
          <w:lang w:val="en-US" w:eastAsia="zh-CN"/>
        </w:rPr>
        <w:t>发展改革</w:t>
      </w:r>
      <w:r>
        <w:rPr>
          <w:rFonts w:hint="eastAsia" w:ascii="方正仿宋_GBK" w:eastAsia="方正仿宋_GBK"/>
          <w:sz w:val="32"/>
          <w:szCs w:val="32"/>
        </w:rPr>
        <w:t>委</w:t>
      </w:r>
      <w:r>
        <w:rPr>
          <w:rFonts w:hint="eastAsia" w:ascii="方正仿宋_GBK" w:eastAsia="方正仿宋_GBK"/>
          <w:sz w:val="32"/>
          <w:szCs w:val="32"/>
          <w:lang w:val="en-US" w:eastAsia="zh-CN"/>
        </w:rPr>
        <w:t>统筹推进“信用代证”工作，定期对实施进度、实施效果开展跟踪评估</w:t>
      </w:r>
      <w:r>
        <w:rPr>
          <w:rFonts w:ascii="方正仿宋_GBK" w:eastAsia="方正仿宋_GBK"/>
          <w:sz w:val="32"/>
          <w:szCs w:val="32"/>
        </w:rPr>
        <w:t>，</w:t>
      </w:r>
      <w:r>
        <w:rPr>
          <w:rFonts w:hint="eastAsia" w:ascii="方正仿宋_GBK" w:eastAsia="方正仿宋_GBK"/>
          <w:sz w:val="32"/>
          <w:szCs w:val="32"/>
        </w:rPr>
        <w:t>及时协调</w:t>
      </w:r>
      <w:r>
        <w:rPr>
          <w:rFonts w:ascii="方正仿宋_GBK" w:eastAsia="方正仿宋_GBK"/>
          <w:sz w:val="32"/>
          <w:szCs w:val="32"/>
        </w:rPr>
        <w:t>解决推进过程存在的问题</w:t>
      </w:r>
      <w:r>
        <w:rPr>
          <w:rFonts w:hint="eastAsia" w:ascii="方正仿宋_GBK" w:eastAsia="方正仿宋_GBK"/>
          <w:sz w:val="32"/>
          <w:szCs w:val="32"/>
        </w:rPr>
        <w:t>。各地各部门要结合本辖区或本行业实际情况，</w:t>
      </w:r>
      <w:r>
        <w:rPr>
          <w:rFonts w:hint="eastAsia" w:ascii="方正仿宋_GBK" w:eastAsia="方正仿宋_GBK"/>
          <w:sz w:val="32"/>
          <w:szCs w:val="32"/>
          <w:lang w:val="en-US" w:eastAsia="zh-CN"/>
        </w:rPr>
        <w:t>确保信息“应报尽报”，积极拓展应用范围，细化</w:t>
      </w:r>
      <w:r>
        <w:rPr>
          <w:rFonts w:hint="eastAsia" w:ascii="方正仿宋_GBK" w:eastAsia="方正仿宋_GBK"/>
          <w:sz w:val="32"/>
          <w:szCs w:val="32"/>
        </w:rPr>
        <w:t>明确工作举措。省公共信用信息中心</w:t>
      </w:r>
      <w:r>
        <w:rPr>
          <w:rFonts w:hint="eastAsia" w:ascii="方正仿宋_GBK" w:eastAsia="方正仿宋_GBK"/>
          <w:sz w:val="32"/>
          <w:szCs w:val="32"/>
          <w:lang w:val="en-US" w:eastAsia="zh-CN"/>
        </w:rPr>
        <w:t>会同省大数据管理中心强化系统支撑，加强信息共享，建立信息异议处理和安全管理机制，</w:t>
      </w:r>
      <w:r>
        <w:rPr>
          <w:rFonts w:hint="eastAsia" w:ascii="方正仿宋_GBK" w:eastAsia="方正仿宋_GBK"/>
          <w:sz w:val="32"/>
          <w:szCs w:val="32"/>
        </w:rPr>
        <w:t>确保系统稳定和数据安全</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不</w:t>
      </w:r>
      <w:r>
        <w:rPr>
          <w:rFonts w:hint="eastAsia" w:ascii="方正仿宋_GBK" w:eastAsia="方正仿宋_GBK"/>
          <w:sz w:val="32"/>
          <w:szCs w:val="32"/>
        </w:rPr>
        <w:t>断提升</w:t>
      </w:r>
      <w:r>
        <w:rPr>
          <w:rFonts w:hint="eastAsia" w:ascii="方正仿宋_GBK" w:eastAsia="方正仿宋_GBK"/>
          <w:sz w:val="32"/>
          <w:szCs w:val="32"/>
          <w:lang w:val="en-US" w:eastAsia="zh-CN"/>
        </w:rPr>
        <w:t>服务</w:t>
      </w:r>
      <w:r>
        <w:rPr>
          <w:rFonts w:hint="eastAsia" w:ascii="方正仿宋_GBK" w:eastAsia="方正仿宋_GBK"/>
          <w:sz w:val="32"/>
          <w:szCs w:val="32"/>
        </w:rPr>
        <w:t>便利化水平。</w:t>
      </w:r>
    </w:p>
    <w:p w14:paraId="4663150A">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r>
        <w:rPr>
          <w:rFonts w:hint="eastAsia" w:ascii="方正楷体_GBK" w:eastAsia="方正楷体_GBK"/>
          <w:sz w:val="32"/>
          <w:szCs w:val="32"/>
        </w:rPr>
        <w:t>（二）</w:t>
      </w:r>
      <w:r>
        <w:rPr>
          <w:rFonts w:hint="eastAsia" w:ascii="方正楷体_GBK" w:eastAsia="方正楷体_GBK"/>
          <w:sz w:val="32"/>
          <w:szCs w:val="32"/>
          <w:lang w:val="en-US" w:eastAsia="zh-CN"/>
        </w:rPr>
        <w:t>强化数据质量管理</w:t>
      </w:r>
      <w:r>
        <w:rPr>
          <w:rFonts w:hint="eastAsia" w:ascii="方正楷体_GBK" w:eastAsia="方正楷体_GBK"/>
          <w:sz w:val="32"/>
          <w:szCs w:val="32"/>
        </w:rPr>
        <w:t>。</w:t>
      </w:r>
      <w:r>
        <w:rPr>
          <w:rFonts w:hint="eastAsia" w:ascii="方正仿宋_GBK" w:eastAsia="方正仿宋_GBK"/>
          <w:sz w:val="32"/>
          <w:szCs w:val="32"/>
        </w:rPr>
        <w:t>按照“谁</w:t>
      </w:r>
      <w:r>
        <w:rPr>
          <w:rFonts w:hint="eastAsia" w:ascii="方正仿宋_GBK" w:eastAsia="方正仿宋_GBK"/>
          <w:sz w:val="32"/>
          <w:szCs w:val="32"/>
          <w:lang w:val="en-US" w:eastAsia="zh-CN"/>
        </w:rPr>
        <w:t>产生</w:t>
      </w:r>
      <w:r>
        <w:rPr>
          <w:rFonts w:hint="eastAsia" w:ascii="方正仿宋_GBK" w:eastAsia="方正仿宋_GBK"/>
          <w:sz w:val="32"/>
          <w:szCs w:val="32"/>
        </w:rPr>
        <w:t>、谁负责”原则</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夯实专项信用报告数据基础，建立数据异议反馈、核查修正机制，</w:t>
      </w:r>
      <w:r>
        <w:rPr>
          <w:rFonts w:hint="eastAsia" w:ascii="方正仿宋_GBK" w:eastAsia="方正仿宋_GBK"/>
          <w:sz w:val="32"/>
          <w:szCs w:val="32"/>
        </w:rPr>
        <w:t>定期</w:t>
      </w:r>
      <w:r>
        <w:rPr>
          <w:rFonts w:hint="eastAsia" w:ascii="方正仿宋_GBK" w:eastAsia="方正仿宋_GBK"/>
          <w:sz w:val="32"/>
          <w:szCs w:val="32"/>
          <w:lang w:val="en-US" w:eastAsia="zh-CN"/>
        </w:rPr>
        <w:t>主动</w:t>
      </w:r>
      <w:r>
        <w:rPr>
          <w:rFonts w:hint="eastAsia" w:ascii="方正仿宋_GBK" w:eastAsia="方正仿宋_GBK"/>
          <w:sz w:val="32"/>
          <w:szCs w:val="32"/>
        </w:rPr>
        <w:t>开展数据</w:t>
      </w:r>
      <w:r>
        <w:rPr>
          <w:rFonts w:hint="eastAsia" w:ascii="方正仿宋_GBK" w:eastAsia="方正仿宋_GBK"/>
          <w:sz w:val="32"/>
          <w:szCs w:val="32"/>
          <w:lang w:val="en-US" w:eastAsia="zh-CN"/>
        </w:rPr>
        <w:t>核验</w:t>
      </w:r>
      <w:r>
        <w:rPr>
          <w:rFonts w:hint="eastAsia" w:ascii="方正仿宋_GBK" w:eastAsia="方正仿宋_GBK"/>
          <w:sz w:val="32"/>
          <w:szCs w:val="32"/>
        </w:rPr>
        <w:t>，确保本地区、本领域数据信息的真实性、准确性、及时性。强化</w:t>
      </w:r>
      <w:r>
        <w:rPr>
          <w:rFonts w:hint="eastAsia" w:ascii="方正仿宋_GBK" w:eastAsia="方正仿宋_GBK"/>
          <w:sz w:val="32"/>
          <w:szCs w:val="32"/>
          <w:lang w:val="en-US" w:eastAsia="zh-CN"/>
        </w:rPr>
        <w:t>信用信息</w:t>
      </w:r>
      <w:r>
        <w:rPr>
          <w:rFonts w:hint="eastAsia" w:ascii="方正仿宋_GBK" w:eastAsia="方正仿宋_GBK"/>
          <w:sz w:val="32"/>
          <w:szCs w:val="32"/>
        </w:rPr>
        <w:t>安全</w:t>
      </w:r>
      <w:r>
        <w:rPr>
          <w:rFonts w:hint="eastAsia" w:ascii="方正仿宋_GBK" w:eastAsia="方正仿宋_GBK"/>
          <w:sz w:val="32"/>
          <w:szCs w:val="32"/>
          <w:lang w:val="en-US" w:eastAsia="zh-CN"/>
        </w:rPr>
        <w:t>管理</w:t>
      </w:r>
      <w:r>
        <w:rPr>
          <w:rFonts w:hint="eastAsia" w:ascii="方正仿宋_GBK" w:eastAsia="方正仿宋_GBK"/>
          <w:sz w:val="32"/>
          <w:szCs w:val="32"/>
        </w:rPr>
        <w:t>，严防</w:t>
      </w:r>
      <w:r>
        <w:rPr>
          <w:rFonts w:hint="eastAsia" w:ascii="方正仿宋_GBK" w:eastAsia="方正仿宋_GBK"/>
          <w:sz w:val="32"/>
          <w:szCs w:val="32"/>
          <w:lang w:val="en-US" w:eastAsia="zh-CN"/>
        </w:rPr>
        <w:t>信息</w:t>
      </w:r>
      <w:r>
        <w:rPr>
          <w:rFonts w:hint="eastAsia" w:ascii="方正仿宋_GBK" w:eastAsia="方正仿宋_GBK"/>
          <w:sz w:val="32"/>
          <w:szCs w:val="32"/>
        </w:rPr>
        <w:t>被非法</w:t>
      </w:r>
      <w:r>
        <w:rPr>
          <w:rFonts w:hint="eastAsia" w:ascii="方正仿宋_GBK" w:eastAsia="方正仿宋_GBK"/>
          <w:sz w:val="32"/>
          <w:szCs w:val="32"/>
          <w:lang w:val="en-US" w:eastAsia="zh-CN"/>
        </w:rPr>
        <w:t>泄露、</w:t>
      </w:r>
      <w:r>
        <w:rPr>
          <w:rFonts w:hint="eastAsia" w:ascii="方正仿宋_GBK" w:eastAsia="方正仿宋_GBK"/>
          <w:sz w:val="32"/>
          <w:szCs w:val="32"/>
        </w:rPr>
        <w:t>篡改、损毁</w:t>
      </w:r>
      <w:r>
        <w:rPr>
          <w:rFonts w:hint="eastAsia" w:ascii="方正仿宋_GBK" w:eastAsia="方正仿宋_GBK"/>
          <w:sz w:val="32"/>
          <w:szCs w:val="32"/>
          <w:lang w:eastAsia="zh-CN"/>
        </w:rPr>
        <w:t>、</w:t>
      </w:r>
      <w:r>
        <w:rPr>
          <w:rFonts w:hint="eastAsia" w:ascii="方正仿宋_GBK" w:eastAsia="方正仿宋_GBK"/>
          <w:sz w:val="32"/>
          <w:szCs w:val="32"/>
          <w:lang w:val="en-US" w:eastAsia="zh-CN"/>
        </w:rPr>
        <w:t>窃取</w:t>
      </w:r>
      <w:r>
        <w:rPr>
          <w:rFonts w:hint="eastAsia" w:ascii="方正仿宋_GBK" w:eastAsia="方正仿宋_GBK"/>
          <w:sz w:val="32"/>
          <w:szCs w:val="32"/>
        </w:rPr>
        <w:t>或不当利用。</w:t>
      </w:r>
    </w:p>
    <w:p w14:paraId="18B3F627">
      <w:pPr>
        <w:keepNext w:val="0"/>
        <w:keepLines w:val="0"/>
        <w:pageBreakBefore w:val="0"/>
        <w:widowControl w:val="0"/>
        <w:kinsoku/>
        <w:wordWrap/>
        <w:overflowPunct/>
        <w:topLinePunct w:val="0"/>
        <w:bidi w:val="0"/>
        <w:snapToGrid/>
        <w:spacing w:line="600" w:lineRule="exact"/>
        <w:ind w:firstLine="640" w:firstLineChars="200"/>
        <w:textAlignment w:val="auto"/>
        <w:rPr>
          <w:rFonts w:ascii="方正仿宋_GBK" w:eastAsia="方正仿宋_GBK"/>
          <w:sz w:val="32"/>
          <w:szCs w:val="32"/>
        </w:rPr>
      </w:pPr>
      <w:r>
        <w:rPr>
          <w:rFonts w:hint="eastAsia" w:ascii="方正楷体_GBK" w:eastAsia="方正楷体_GBK"/>
          <w:sz w:val="32"/>
          <w:szCs w:val="32"/>
        </w:rPr>
        <w:t>（三）维护</w:t>
      </w:r>
      <w:r>
        <w:rPr>
          <w:rFonts w:hint="eastAsia" w:ascii="方正楷体_GBK" w:eastAsia="方正楷体_GBK"/>
          <w:sz w:val="32"/>
          <w:szCs w:val="32"/>
          <w:lang w:val="en-US" w:eastAsia="zh-CN"/>
        </w:rPr>
        <w:t>经营</w:t>
      </w:r>
      <w:r>
        <w:rPr>
          <w:rFonts w:hint="eastAsia" w:ascii="方正楷体_GBK" w:eastAsia="方正楷体_GBK"/>
          <w:sz w:val="32"/>
          <w:szCs w:val="32"/>
        </w:rPr>
        <w:t>主体权益。</w:t>
      </w:r>
      <w:r>
        <w:rPr>
          <w:rFonts w:hint="eastAsia" w:ascii="方正仿宋_GBK" w:eastAsia="方正仿宋_GBK"/>
          <w:sz w:val="32"/>
          <w:szCs w:val="32"/>
        </w:rPr>
        <w:t>经营主体认为信息有误的，可按照有关规定提起异议申诉，相关部门应及时受理反馈。</w:t>
      </w:r>
      <w:r>
        <w:rPr>
          <w:rFonts w:hint="eastAsia" w:ascii="方正仿宋_GBK" w:eastAsia="方正仿宋_GBK"/>
          <w:sz w:val="32"/>
          <w:szCs w:val="32"/>
          <w:lang w:val="en-US" w:eastAsia="zh-CN"/>
        </w:rPr>
        <w:t>公共信用</w:t>
      </w:r>
      <w:r>
        <w:rPr>
          <w:rFonts w:hint="eastAsia" w:ascii="方正仿宋_GBK" w:eastAsia="方正仿宋_GBK"/>
          <w:sz w:val="32"/>
          <w:szCs w:val="32"/>
        </w:rPr>
        <w:t>信息的异议、更正、更新、修复等事项，按照《</w:t>
      </w:r>
      <w:r>
        <w:rPr>
          <w:rFonts w:hint="eastAsia" w:ascii="方正仿宋_GBK" w:eastAsia="方正仿宋_GBK"/>
          <w:sz w:val="32"/>
          <w:szCs w:val="32"/>
          <w:lang w:val="en-US" w:eastAsia="zh-CN"/>
        </w:rPr>
        <w:t>江苏省社会信用</w:t>
      </w:r>
      <w:r>
        <w:rPr>
          <w:rFonts w:hint="eastAsia" w:ascii="方正仿宋_GBK" w:eastAsia="方正仿宋_GBK"/>
          <w:sz w:val="32"/>
          <w:szCs w:val="32"/>
        </w:rPr>
        <w:t>条例》有关规定处理，建立省公共信用信息</w:t>
      </w:r>
      <w:r>
        <w:rPr>
          <w:rFonts w:hint="eastAsia" w:ascii="方正仿宋_GBK" w:eastAsia="方正仿宋_GBK"/>
          <w:sz w:val="32"/>
          <w:szCs w:val="32"/>
          <w:lang w:val="en-US" w:eastAsia="zh-CN"/>
        </w:rPr>
        <w:t>系统</w:t>
      </w:r>
      <w:r>
        <w:rPr>
          <w:rFonts w:hint="eastAsia" w:ascii="方正仿宋_GBK" w:eastAsia="方正仿宋_GBK"/>
          <w:sz w:val="32"/>
          <w:szCs w:val="32"/>
        </w:rPr>
        <w:t>统一受理、省级有关单位快速核验处理机制。</w:t>
      </w:r>
    </w:p>
    <w:p w14:paraId="4527E84A">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r>
        <w:rPr>
          <w:rFonts w:hint="eastAsia" w:ascii="方正楷体_GBK" w:eastAsia="方正楷体_GBK"/>
          <w:sz w:val="32"/>
          <w:szCs w:val="32"/>
        </w:rPr>
        <w:t>（四）</w:t>
      </w:r>
      <w:r>
        <w:rPr>
          <w:rFonts w:hint="eastAsia" w:ascii="方正楷体_GBK" w:eastAsia="方正楷体_GBK"/>
          <w:sz w:val="32"/>
          <w:szCs w:val="32"/>
          <w:lang w:eastAsia="zh-CN"/>
        </w:rPr>
        <w:t>加强政策</w:t>
      </w:r>
      <w:r>
        <w:rPr>
          <w:rFonts w:ascii="方正楷体_GBK" w:eastAsia="方正楷体_GBK"/>
          <w:sz w:val="32"/>
          <w:szCs w:val="32"/>
        </w:rPr>
        <w:t>宣传推广</w:t>
      </w:r>
      <w:r>
        <w:rPr>
          <w:rFonts w:hint="eastAsia" w:ascii="方正楷体_GBK" w:eastAsia="方正楷体_GBK"/>
          <w:sz w:val="32"/>
          <w:szCs w:val="32"/>
        </w:rPr>
        <w:t>。</w:t>
      </w:r>
      <w:r>
        <w:rPr>
          <w:rFonts w:hint="eastAsia" w:ascii="方正仿宋_GBK" w:eastAsia="方正仿宋_GBK"/>
          <w:sz w:val="32"/>
          <w:szCs w:val="32"/>
        </w:rPr>
        <w:t>加强</w:t>
      </w:r>
      <w:r>
        <w:rPr>
          <w:rFonts w:hint="eastAsia" w:ascii="方正仿宋_GBK" w:eastAsia="方正仿宋_GBK"/>
          <w:sz w:val="32"/>
          <w:szCs w:val="32"/>
          <w:lang w:eastAsia="zh-CN"/>
        </w:rPr>
        <w:t>“信用代证”</w:t>
      </w:r>
      <w:r>
        <w:rPr>
          <w:rFonts w:hint="eastAsia" w:ascii="方正仿宋_GBK" w:eastAsia="方正仿宋_GBK"/>
          <w:sz w:val="32"/>
          <w:szCs w:val="32"/>
        </w:rPr>
        <w:t>政策宣传，营造浓厚工作推进氛围。各地各部门要</w:t>
      </w:r>
      <w:r>
        <w:rPr>
          <w:rFonts w:ascii="方正仿宋_GBK" w:eastAsia="方正仿宋_GBK"/>
          <w:sz w:val="32"/>
          <w:szCs w:val="32"/>
        </w:rPr>
        <w:t>通过本级政府网站、部门网站、信用网站</w:t>
      </w:r>
      <w:r>
        <w:rPr>
          <w:rFonts w:hint="eastAsia" w:ascii="方正仿宋_GBK" w:eastAsia="方正仿宋_GBK"/>
          <w:sz w:val="32"/>
          <w:szCs w:val="32"/>
        </w:rPr>
        <w:t>及</w:t>
      </w:r>
      <w:r>
        <w:rPr>
          <w:rFonts w:ascii="方正仿宋_GBK" w:eastAsia="方正仿宋_GBK"/>
          <w:sz w:val="32"/>
          <w:szCs w:val="32"/>
        </w:rPr>
        <w:t>公众号等</w:t>
      </w:r>
      <w:r>
        <w:rPr>
          <w:rFonts w:hint="eastAsia" w:ascii="方正仿宋_GBK" w:eastAsia="方正仿宋_GBK"/>
          <w:sz w:val="32"/>
          <w:szCs w:val="32"/>
        </w:rPr>
        <w:t>，多</w:t>
      </w:r>
      <w:r>
        <w:rPr>
          <w:rFonts w:ascii="方正仿宋_GBK" w:eastAsia="方正仿宋_GBK"/>
          <w:sz w:val="32"/>
          <w:szCs w:val="32"/>
        </w:rPr>
        <w:t>渠道宣传</w:t>
      </w:r>
      <w:r>
        <w:rPr>
          <w:rFonts w:hint="eastAsia" w:ascii="方正仿宋_GBK" w:eastAsia="方正仿宋_GBK"/>
          <w:sz w:val="32"/>
          <w:szCs w:val="32"/>
        </w:rPr>
        <w:t>专项信用报告替代无违法</w:t>
      </w:r>
      <w:r>
        <w:rPr>
          <w:rFonts w:hint="eastAsia" w:ascii="方正仿宋_GBK" w:eastAsia="方正仿宋_GBK"/>
          <w:sz w:val="32"/>
          <w:szCs w:val="32"/>
          <w:lang w:val="en-US" w:eastAsia="zh-CN"/>
        </w:rPr>
        <w:t>违规</w:t>
      </w:r>
      <w:r>
        <w:rPr>
          <w:rFonts w:hint="eastAsia" w:ascii="方正仿宋_GBK" w:eastAsia="方正仿宋_GBK"/>
          <w:sz w:val="32"/>
          <w:szCs w:val="32"/>
        </w:rPr>
        <w:t>记录证明相关政策</w:t>
      </w:r>
      <w:r>
        <w:rPr>
          <w:rFonts w:ascii="方正仿宋_GBK" w:eastAsia="方正仿宋_GBK"/>
          <w:sz w:val="32"/>
          <w:szCs w:val="32"/>
        </w:rPr>
        <w:t>和规定</w:t>
      </w:r>
      <w:r>
        <w:rPr>
          <w:rFonts w:hint="eastAsia" w:ascii="方正仿宋_GBK" w:eastAsia="方正仿宋_GBK"/>
          <w:sz w:val="32"/>
          <w:szCs w:val="32"/>
        </w:rPr>
        <w:t>，</w:t>
      </w:r>
      <w:r>
        <w:rPr>
          <w:rFonts w:hint="eastAsia" w:ascii="方正仿宋_GBK" w:eastAsia="方正仿宋_GBK"/>
          <w:sz w:val="32"/>
          <w:szCs w:val="32"/>
          <w:lang w:eastAsia="zh-CN"/>
        </w:rPr>
        <w:t>积极回应社会关切，</w:t>
      </w:r>
      <w:r>
        <w:rPr>
          <w:rFonts w:hint="eastAsia" w:ascii="方正仿宋_GBK" w:eastAsia="方正仿宋_GBK"/>
          <w:sz w:val="32"/>
          <w:szCs w:val="32"/>
        </w:rPr>
        <w:t>确保省内</w:t>
      </w:r>
      <w:r>
        <w:rPr>
          <w:rFonts w:hint="eastAsia" w:ascii="方正仿宋_GBK" w:eastAsia="方正仿宋_GBK"/>
          <w:sz w:val="32"/>
          <w:szCs w:val="32"/>
          <w:lang w:val="en-US" w:eastAsia="zh-CN"/>
        </w:rPr>
        <w:t>经营</w:t>
      </w:r>
      <w:r>
        <w:rPr>
          <w:rFonts w:ascii="方正仿宋_GBK" w:eastAsia="方正仿宋_GBK"/>
          <w:sz w:val="32"/>
          <w:szCs w:val="32"/>
        </w:rPr>
        <w:t>主</w:t>
      </w:r>
      <w:r>
        <w:rPr>
          <w:rFonts w:hint="eastAsia" w:ascii="方正仿宋_GBK" w:eastAsia="方正仿宋_GBK"/>
          <w:sz w:val="32"/>
          <w:szCs w:val="32"/>
        </w:rPr>
        <w:t>体充分知晓，营造知信、守信、用信、护信的良好氛围。</w:t>
      </w:r>
    </w:p>
    <w:p w14:paraId="66D4AE47">
      <w:pPr>
        <w:keepNext w:val="0"/>
        <w:keepLines w:val="0"/>
        <w:pageBreakBefore w:val="0"/>
        <w:widowControl w:val="0"/>
        <w:kinsoku/>
        <w:wordWrap/>
        <w:overflowPunct/>
        <w:topLinePunct w:val="0"/>
        <w:bidi w:val="0"/>
        <w:snapToGrid/>
        <w:spacing w:line="60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w:t>
      </w:r>
      <w:r>
        <w:rPr>
          <w:rFonts w:hint="default" w:ascii="Times New Roman" w:hAnsi="Times New Roman" w:eastAsia="方正仿宋_GBK" w:cs="Times New Roman"/>
          <w:sz w:val="32"/>
          <w:szCs w:val="32"/>
          <w:lang w:eastAsia="zh-CN"/>
        </w:rPr>
        <w:t>实施方案</w:t>
      </w:r>
      <w:r>
        <w:rPr>
          <w:rFonts w:hint="default" w:ascii="Times New Roman" w:hAnsi="Times New Roman" w:eastAsia="方正仿宋_GBK" w:cs="Times New Roman"/>
          <w:sz w:val="32"/>
          <w:szCs w:val="32"/>
        </w:rPr>
        <w:t>自202</w:t>
      </w:r>
      <w:r>
        <w:rPr>
          <w:rFonts w:hint="default"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年**月**日起施行，有效期至202</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rPr>
        <w:t>年**月**日。</w:t>
      </w:r>
    </w:p>
    <w:p w14:paraId="304C75D4">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p>
    <w:p w14:paraId="7489FBAD">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p>
    <w:p w14:paraId="13F14BBD">
      <w:pPr>
        <w:widowControl/>
        <w:jc w:val="right"/>
        <w:outlineLvl w:val="9"/>
      </w:pPr>
      <w:r>
        <w:drawing>
          <wp:inline distT="0" distB="0" distL="0" distR="0">
            <wp:extent cx="1166495" cy="1166495"/>
            <wp:effectExtent l="0" t="0" r="14605" b="1460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5"/>
                    <a:srcRect/>
                    <a:stretch>
                      <a:fillRect/>
                    </a:stretch>
                  </pic:blipFill>
                  <pic:spPr>
                    <a:xfrm>
                      <a:off x="0" y="0"/>
                      <a:ext cx="1170336" cy="1170336"/>
                    </a:xfrm>
                    <a:prstGeom prst="rect">
                      <a:avLst/>
                    </a:prstGeom>
                    <a:noFill/>
                    <a:ln w="9525">
                      <a:noFill/>
                      <a:miter lim="800000"/>
                      <a:headEnd/>
                      <a:tailEnd/>
                    </a:ln>
                  </pic:spPr>
                </pic:pic>
              </a:graphicData>
            </a:graphic>
          </wp:inline>
        </w:drawing>
      </w:r>
    </w:p>
    <w:p w14:paraId="78ACF8A2"/>
    <w:p w14:paraId="7E7E9317"/>
    <w:p w14:paraId="4B1A0BB0"/>
    <w:p w14:paraId="74D2AF48"/>
    <w:p w14:paraId="231CE686">
      <w:pPr>
        <w:jc w:val="center"/>
        <w:rPr>
          <w:rFonts w:hint="eastAsia" w:ascii="方正小标宋_GBK" w:hAnsi="宋体" w:eastAsia="方正小标宋_GBK"/>
          <w:b/>
          <w:spacing w:val="40"/>
          <w:sz w:val="72"/>
          <w:szCs w:val="72"/>
          <w:lang w:val="en-US" w:eastAsia="zh-CN"/>
        </w:rPr>
      </w:pPr>
      <w:r>
        <w:rPr>
          <w:rFonts w:hint="eastAsia" w:ascii="方正小标宋_GBK" w:hAnsi="宋体" w:eastAsia="方正小标宋_GBK"/>
          <w:b/>
          <w:spacing w:val="40"/>
          <w:sz w:val="72"/>
          <w:szCs w:val="72"/>
        </w:rPr>
        <w:t>江苏省法人</w:t>
      </w:r>
      <w:r>
        <w:rPr>
          <w:rFonts w:hint="eastAsia" w:ascii="方正小标宋_GBK" w:hAnsi="宋体" w:eastAsia="方正小标宋_GBK"/>
          <w:b/>
          <w:spacing w:val="40"/>
          <w:sz w:val="72"/>
          <w:szCs w:val="72"/>
          <w:lang w:val="en-US" w:eastAsia="zh-CN"/>
        </w:rPr>
        <w:t>专项</w:t>
      </w:r>
    </w:p>
    <w:p w14:paraId="58655C12">
      <w:pPr>
        <w:jc w:val="center"/>
        <w:rPr>
          <w:rFonts w:ascii="方正小标宋_GBK" w:eastAsia="方正小标宋_GBK"/>
          <w:b/>
          <w:spacing w:val="40"/>
          <w:sz w:val="72"/>
          <w:szCs w:val="72"/>
        </w:rPr>
      </w:pPr>
      <w:r>
        <w:rPr>
          <w:rFonts w:hint="eastAsia" w:ascii="方正小标宋_GBK" w:hAnsi="宋体" w:eastAsia="方正小标宋_GBK"/>
          <w:b/>
          <w:spacing w:val="40"/>
          <w:sz w:val="72"/>
          <w:szCs w:val="72"/>
        </w:rPr>
        <w:t>公共信用信息报告</w:t>
      </w:r>
    </w:p>
    <w:p w14:paraId="7C3596DF">
      <w:pPr>
        <w:jc w:val="center"/>
        <w:rPr>
          <w:b/>
          <w:sz w:val="32"/>
          <w:szCs w:val="32"/>
        </w:rPr>
      </w:pPr>
      <w:r>
        <w:rPr>
          <w:rFonts w:hint="eastAsia" w:ascii="方正黑体_GBK" w:hAnsi="方正黑体_GBK" w:eastAsia="方正黑体_GBK" w:cs="方正黑体_GBK"/>
          <w:b w:val="0"/>
          <w:bCs/>
          <w:sz w:val="32"/>
          <w:szCs w:val="32"/>
        </w:rPr>
        <w:t>（无违法违规记录证明版）</w:t>
      </w:r>
    </w:p>
    <w:p w14:paraId="50FA57C0">
      <w:pPr>
        <w:jc w:val="center"/>
        <w:rPr>
          <w:b/>
          <w:sz w:val="32"/>
          <w:szCs w:val="32"/>
        </w:rPr>
      </w:pPr>
    </w:p>
    <w:p w14:paraId="7F3B2D1B">
      <w:pPr>
        <w:jc w:val="center"/>
        <w:rPr>
          <w:b/>
          <w:sz w:val="32"/>
          <w:szCs w:val="32"/>
        </w:rPr>
      </w:pPr>
    </w:p>
    <w:p w14:paraId="6890EDAE">
      <w:pPr>
        <w:rPr>
          <w:rFonts w:hint="eastAsia" w:ascii="方正黑体_GBK" w:hAnsi="方正黑体_GBK" w:eastAsia="方正黑体_GBK" w:cs="方正黑体_GBK"/>
          <w:b w:val="0"/>
          <w:bCs w:val="0"/>
        </w:rPr>
      </w:pPr>
    </w:p>
    <w:p w14:paraId="11F496F5">
      <w:pPr>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rPr>
        <w:t xml:space="preserve">            </w:t>
      </w:r>
      <w:r>
        <w:rPr>
          <w:rFonts w:hint="eastAsia" w:ascii="方正黑体_GBK" w:hAnsi="方正黑体_GBK" w:eastAsia="方正黑体_GBK" w:cs="方正黑体_GBK"/>
          <w:b w:val="0"/>
          <w:bCs w:val="0"/>
          <w:sz w:val="32"/>
          <w:szCs w:val="32"/>
        </w:rPr>
        <w:t>主体名称：**********</w:t>
      </w:r>
    </w:p>
    <w:p w14:paraId="5B52846E">
      <w:pPr>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sz w:val="32"/>
          <w:szCs w:val="32"/>
        </w:rPr>
        <w:t xml:space="preserve">        统一社会信用代码：************</w:t>
      </w:r>
    </w:p>
    <w:p w14:paraId="4ABA8DDE">
      <w:r>
        <w:rPr>
          <w:rFonts w:hint="eastAsia" w:ascii="方正黑体_GBK" w:hAnsi="方正黑体_GBK" w:eastAsia="方正黑体_GBK" w:cs="方正黑体_GBK"/>
          <w:b w:val="0"/>
          <w:bCs w:val="0"/>
          <w:sz w:val="32"/>
          <w:szCs w:val="32"/>
        </w:rPr>
        <w:t xml:space="preserve">        报告编号：***********</w:t>
      </w:r>
    </w:p>
    <w:p w14:paraId="285E4E8D"/>
    <w:p w14:paraId="76020984"/>
    <w:p w14:paraId="4263EFDB"/>
    <w:p w14:paraId="784D2446"/>
    <w:p w14:paraId="0AFA4552"/>
    <w:tbl>
      <w:tblPr>
        <w:tblStyle w:val="7"/>
        <w:tblW w:w="0" w:type="auto"/>
        <w:jc w:val="center"/>
        <w:tblLayout w:type="autofit"/>
        <w:tblCellMar>
          <w:top w:w="0" w:type="dxa"/>
          <w:left w:w="108" w:type="dxa"/>
          <w:bottom w:w="0" w:type="dxa"/>
          <w:right w:w="108" w:type="dxa"/>
        </w:tblCellMar>
      </w:tblPr>
      <w:tblGrid>
        <w:gridCol w:w="4976"/>
      </w:tblGrid>
      <w:tr w14:paraId="2DCBD056">
        <w:tblPrEx>
          <w:tblCellMar>
            <w:top w:w="0" w:type="dxa"/>
            <w:left w:w="108" w:type="dxa"/>
            <w:bottom w:w="0" w:type="dxa"/>
            <w:right w:w="108" w:type="dxa"/>
          </w:tblCellMar>
        </w:tblPrEx>
        <w:trPr>
          <w:trHeight w:val="510" w:hRule="atLeast"/>
          <w:jc w:val="center"/>
        </w:trPr>
        <w:tc>
          <w:tcPr>
            <w:tcW w:w="4976" w:type="dxa"/>
            <w:vAlign w:val="center"/>
          </w:tcPr>
          <w:p w14:paraId="5A4D6099">
            <w:pPr>
              <w:jc w:val="center"/>
              <w:rPr>
                <w:b/>
                <w:sz w:val="32"/>
                <w:szCs w:val="32"/>
              </w:rPr>
            </w:pPr>
            <w:r>
              <w:rPr>
                <w:rFonts w:hint="eastAsia" w:hAnsi="宋体"/>
                <w:b/>
                <w:sz w:val="32"/>
                <w:szCs w:val="32"/>
              </w:rPr>
              <w:t>生成日期</w:t>
            </w:r>
            <w:r>
              <w:rPr>
                <w:rFonts w:hAnsi="宋体"/>
                <w:b/>
                <w:sz w:val="32"/>
                <w:szCs w:val="32"/>
              </w:rPr>
              <w:t>：***年**月**日</w:t>
            </w:r>
          </w:p>
        </w:tc>
      </w:tr>
    </w:tbl>
    <w:p w14:paraId="0CE6754D">
      <w:pPr>
        <w:jc w:val="center"/>
        <w:rPr>
          <w:rFonts w:hAnsi="宋体"/>
          <w:b/>
          <w:sz w:val="32"/>
          <w:szCs w:val="32"/>
        </w:rPr>
      </w:pPr>
      <w:r>
        <w:rPr>
          <w:rFonts w:hint="eastAsia" w:hAnsi="宋体"/>
          <w:b/>
          <w:sz w:val="32"/>
          <w:szCs w:val="32"/>
        </w:rPr>
        <w:t>出具</w:t>
      </w:r>
      <w:r>
        <w:rPr>
          <w:rFonts w:hAnsi="宋体"/>
          <w:b/>
          <w:sz w:val="32"/>
          <w:szCs w:val="32"/>
        </w:rPr>
        <w:t xml:space="preserve">单位：********** </w:t>
      </w:r>
    </w:p>
    <w:p w14:paraId="504104B2">
      <w:pPr>
        <w:widowControl/>
        <w:jc w:val="left"/>
        <w:rPr>
          <w:rFonts w:eastAsia="仿宋_GB2312"/>
          <w:sz w:val="32"/>
          <w:szCs w:val="32"/>
        </w:rPr>
      </w:pPr>
      <w:r>
        <w:rPr>
          <w:rFonts w:eastAsia="仿宋_GB2312"/>
          <w:sz w:val="32"/>
          <w:szCs w:val="32"/>
        </w:rPr>
        <w:br w:type="page"/>
      </w:r>
    </w:p>
    <w:p w14:paraId="58CDCA79">
      <w:pPr>
        <w:adjustRightInd w:val="0"/>
        <w:snapToGrid w:val="0"/>
        <w:spacing w:line="293" w:lineRule="auto"/>
        <w:ind w:firstLine="720" w:firstLineChars="200"/>
        <w:jc w:val="center"/>
        <w:rPr>
          <w:rFonts w:ascii="方正小标宋_GBK" w:eastAsia="方正小标宋_GBK"/>
          <w:sz w:val="36"/>
          <w:szCs w:val="36"/>
        </w:rPr>
      </w:pPr>
      <w:r>
        <w:rPr>
          <w:rFonts w:hint="eastAsia" w:ascii="方正小标宋_GBK" w:eastAsia="方正小标宋_GBK"/>
          <w:sz w:val="36"/>
          <w:szCs w:val="36"/>
        </w:rPr>
        <w:t>概要</w:t>
      </w:r>
    </w:p>
    <w:p w14:paraId="0E0B6516">
      <w:pPr>
        <w:adjustRightInd w:val="0"/>
        <w:snapToGrid w:val="0"/>
        <w:spacing w:line="293" w:lineRule="auto"/>
        <w:ind w:firstLine="640" w:firstLineChars="200"/>
        <w:rPr>
          <w:rFonts w:ascii="方正黑体_GBK" w:eastAsia="方正黑体_GBK"/>
          <w:sz w:val="32"/>
          <w:szCs w:val="32"/>
        </w:rPr>
      </w:pPr>
      <w:r>
        <w:rPr>
          <w:rFonts w:hint="eastAsia" w:ascii="方正黑体_GBK" w:eastAsia="方正黑体_GBK"/>
          <w:sz w:val="32"/>
          <w:szCs w:val="32"/>
        </w:rPr>
        <w:t>一、基础信息</w:t>
      </w:r>
    </w:p>
    <w:tbl>
      <w:tblPr>
        <w:tblStyle w:val="8"/>
        <w:tblW w:w="84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99"/>
      </w:tblGrid>
      <w:tr w14:paraId="6A37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69" w:hRule="atLeast"/>
        </w:trPr>
        <w:tc>
          <w:tcPr>
            <w:tcW w:w="8499" w:type="dxa"/>
          </w:tcPr>
          <w:p w14:paraId="17525D84">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1.主体名称</w:t>
            </w:r>
          </w:p>
          <w:p w14:paraId="41C15C75">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2.统一社会信用代码</w:t>
            </w:r>
          </w:p>
          <w:p w14:paraId="5B6798EB">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3.法定代表人/负责人/执行事务合伙人</w:t>
            </w:r>
          </w:p>
          <w:p w14:paraId="6EE242F8">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4.主体类型</w:t>
            </w:r>
          </w:p>
          <w:p w14:paraId="0114405B">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5.设立日期</w:t>
            </w:r>
          </w:p>
          <w:p w14:paraId="630A1E22">
            <w:pPr>
              <w:adjustRightInd w:val="0"/>
              <w:snapToGrid w:val="0"/>
              <w:spacing w:line="293"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6.住所</w:t>
            </w:r>
          </w:p>
          <w:p w14:paraId="3AB88870">
            <w:pPr>
              <w:adjustRightInd w:val="0"/>
              <w:snapToGrid w:val="0"/>
              <w:spacing w:line="293" w:lineRule="auto"/>
              <w:rPr>
                <w:rFonts w:eastAsia="仿宋_GB2312"/>
                <w:sz w:val="32"/>
                <w:szCs w:val="32"/>
              </w:rPr>
            </w:pPr>
            <w:r>
              <w:rPr>
                <w:rFonts w:hint="default" w:ascii="Times New Roman" w:hAnsi="Times New Roman" w:eastAsia="方正仿宋_GBK" w:cs="Times New Roman"/>
                <w:sz w:val="32"/>
                <w:szCs w:val="32"/>
              </w:rPr>
              <w:t>7</w:t>
            </w:r>
            <w:r>
              <w:rPr>
                <w:rFonts w:hint="eastAsia" w:ascii="方正仿宋_GBK" w:hAnsi="方正仿宋_GBK" w:eastAsia="方正仿宋_GBK" w:cs="方正仿宋_GBK"/>
                <w:sz w:val="32"/>
                <w:szCs w:val="32"/>
              </w:rPr>
              <w:t>.存续状态</w:t>
            </w:r>
          </w:p>
        </w:tc>
      </w:tr>
    </w:tbl>
    <w:p w14:paraId="38FF6345">
      <w:pPr>
        <w:adjustRightInd w:val="0"/>
        <w:snapToGrid w:val="0"/>
        <w:spacing w:line="293" w:lineRule="auto"/>
        <w:ind w:firstLine="640" w:firstLineChars="200"/>
        <w:rPr>
          <w:rFonts w:ascii="方正黑体_GBK" w:eastAsia="方正黑体_GBK"/>
          <w:sz w:val="32"/>
          <w:szCs w:val="32"/>
        </w:rPr>
      </w:pPr>
      <w:r>
        <w:rPr>
          <w:rFonts w:hint="eastAsia" w:ascii="方正黑体_GBK" w:eastAsia="方正黑体_GBK"/>
          <w:sz w:val="32"/>
          <w:szCs w:val="32"/>
        </w:rPr>
        <w:t>二、报告</w:t>
      </w:r>
      <w:r>
        <w:rPr>
          <w:rFonts w:ascii="方正黑体_GBK" w:eastAsia="方正黑体_GBK"/>
          <w:sz w:val="32"/>
          <w:szCs w:val="32"/>
        </w:rPr>
        <w:t>说明</w:t>
      </w:r>
    </w:p>
    <w:tbl>
      <w:tblPr>
        <w:tblStyle w:val="8"/>
        <w:tblW w:w="85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0"/>
      </w:tblGrid>
      <w:tr w14:paraId="7C076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5" w:hRule="atLeast"/>
        </w:trPr>
        <w:tc>
          <w:tcPr>
            <w:tcW w:w="8500" w:type="dxa"/>
          </w:tcPr>
          <w:p w14:paraId="0F8CC14A">
            <w:pPr>
              <w:adjustRightInd w:val="0"/>
              <w:snapToGrid w:val="0"/>
              <w:spacing w:line="293" w:lineRule="auto"/>
              <w:ind w:firstLine="645"/>
              <w:rPr>
                <w:rFonts w:hint="eastAsia" w:ascii="方正仿宋_GBK" w:hAnsi="方正仿宋_GBK" w:eastAsia="方正仿宋_GBK" w:cs="方正仿宋_GBK"/>
                <w:sz w:val="32"/>
                <w:szCs w:val="32"/>
              </w:rPr>
            </w:pPr>
            <w:r>
              <w:rPr>
                <w:rFonts w:hint="eastAsia" w:ascii="Times New Roman" w:hAnsi="Times New Roman" w:eastAsia="方正仿宋_GBK" w:cs="Times New Roman"/>
                <w:sz w:val="32"/>
                <w:szCs w:val="32"/>
              </w:rPr>
              <w:t>1</w:t>
            </w:r>
            <w:r>
              <w:rPr>
                <w:rFonts w:hint="eastAsia" w:ascii="方正仿宋_GBK" w:hAnsi="方正仿宋_GBK" w:eastAsia="方正仿宋_GBK" w:cs="方正仿宋_GBK"/>
                <w:sz w:val="32"/>
                <w:szCs w:val="32"/>
              </w:rPr>
              <w:t>、本报告查询范围包括：</w:t>
            </w:r>
            <w:r>
              <w:rPr>
                <w:rFonts w:hint="eastAsia" w:ascii="方正仿宋_GBK" w:eastAsia="方正仿宋_GBK"/>
                <w:sz w:val="32"/>
                <w:szCs w:val="32"/>
                <w:lang w:val="en-US" w:eastAsia="zh-CN"/>
              </w:rPr>
              <w:t>法院、发展改革、教育、科技、工信、民族宗教、公安、民政、司法行政、财政、人力资源和社会保障、自然资源、生态环境、住房和城乡建设、交通运输、水利、农业农村、商务、文化和旅游、卫生健康、退役军人事务、应急管理、数据管理、市场监管、广播电视、体育、统计、医疗保障、地方金融监管、能源、粮食和物资储备、药品监管、知识产权、消防安全、国防动员、税务、气象、地震、林业、邮政、烟草、海事、城市管理、银行保险、证券、综合执法</w:t>
            </w: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lang w:val="en-US" w:eastAsia="zh-CN"/>
              </w:rPr>
              <w:t>6</w:t>
            </w:r>
            <w:r>
              <w:rPr>
                <w:rFonts w:hint="eastAsia" w:ascii="方正仿宋_GBK" w:hAnsi="方正仿宋_GBK" w:eastAsia="方正仿宋_GBK" w:cs="方正仿宋_GBK"/>
                <w:sz w:val="32"/>
                <w:szCs w:val="32"/>
              </w:rPr>
              <w:t>个部门（领域）；</w:t>
            </w:r>
          </w:p>
          <w:p w14:paraId="2F9EEA86">
            <w:pPr>
              <w:adjustRightInd w:val="0"/>
              <w:snapToGrid w:val="0"/>
              <w:spacing w:line="293" w:lineRule="auto"/>
              <w:ind w:firstLine="645"/>
              <w:rPr>
                <w:rFonts w:hint="eastAsia" w:ascii="方正仿宋_GBK" w:hAnsi="方正仿宋_GBK" w:eastAsia="方正仿宋_GBK" w:cs="方正仿宋_GBK"/>
                <w:color w:val="auto"/>
                <w:sz w:val="32"/>
                <w:szCs w:val="32"/>
              </w:rPr>
            </w:pPr>
            <w:r>
              <w:rPr>
                <w:rFonts w:hint="eastAsia" w:ascii="方正楷体_GBK" w:hAnsi="方正楷体_GBK" w:eastAsia="方正楷体_GBK" w:cs="方正楷体_GBK"/>
                <w:color w:val="auto"/>
                <w:sz w:val="32"/>
                <w:szCs w:val="32"/>
              </w:rPr>
              <w:t>（说明：可</w:t>
            </w:r>
            <w:r>
              <w:rPr>
                <w:rFonts w:hint="eastAsia" w:ascii="方正楷体_GBK" w:hAnsi="方正楷体_GBK" w:eastAsia="方正楷体_GBK" w:cs="方正楷体_GBK"/>
                <w:color w:val="auto"/>
                <w:sz w:val="32"/>
                <w:szCs w:val="32"/>
                <w:lang w:val="en-US" w:eastAsia="zh-CN"/>
              </w:rPr>
              <w:t>根据应用需要选择专项信用报告覆盖</w:t>
            </w:r>
            <w:r>
              <w:rPr>
                <w:rFonts w:hint="eastAsia" w:ascii="方正楷体_GBK" w:hAnsi="方正楷体_GBK" w:eastAsia="方正楷体_GBK" w:cs="方正楷体_GBK"/>
                <w:color w:val="auto"/>
                <w:sz w:val="32"/>
                <w:szCs w:val="32"/>
              </w:rPr>
              <w:t>领域）</w:t>
            </w:r>
          </w:p>
          <w:p w14:paraId="63D5BC89">
            <w:pPr>
              <w:adjustRightInd w:val="0"/>
              <w:snapToGrid w:val="0"/>
              <w:spacing w:line="293" w:lineRule="auto"/>
              <w:ind w:firstLine="645"/>
              <w:rPr>
                <w:rFonts w:hint="eastAsia" w:ascii="方正仿宋_GBK" w:hAnsi="方正仿宋_GBK" w:eastAsia="方正仿宋_GBK" w:cs="方正仿宋_GBK"/>
                <w:sz w:val="32"/>
                <w:szCs w:val="32"/>
              </w:rPr>
            </w:pPr>
            <w:r>
              <w:rPr>
                <w:rFonts w:hint="eastAsia" w:ascii="Times New Roman" w:hAnsi="Times New Roman" w:eastAsia="方正仿宋_GBK" w:cs="Times New Roman"/>
                <w:sz w:val="32"/>
                <w:szCs w:val="32"/>
              </w:rPr>
              <w:t>2</w:t>
            </w:r>
            <w:r>
              <w:rPr>
                <w:rFonts w:hint="eastAsia" w:ascii="方正仿宋_GBK" w:hAnsi="方正仿宋_GBK" w:eastAsia="方正仿宋_GBK" w:cs="方正仿宋_GBK"/>
                <w:sz w:val="32"/>
                <w:szCs w:val="32"/>
              </w:rPr>
              <w:t>、本报告查询时间范围为近</w:t>
            </w:r>
            <w:r>
              <w:rPr>
                <w:rFonts w:hint="eastAsia" w:ascii="Times New Roman" w:hAnsi="Times New Roman" w:eastAsia="方正仿宋_GBK" w:cs="Times New Roman"/>
                <w:sz w:val="32"/>
                <w:szCs w:val="32"/>
              </w:rPr>
              <w:t>3</w:t>
            </w:r>
            <w:r>
              <w:rPr>
                <w:rFonts w:hint="eastAsia" w:ascii="方正仿宋_GBK" w:hAnsi="方正仿宋_GBK" w:eastAsia="方正仿宋_GBK" w:cs="方正仿宋_GBK"/>
                <w:sz w:val="32"/>
                <w:szCs w:val="32"/>
              </w:rPr>
              <w:t>年；</w:t>
            </w:r>
          </w:p>
          <w:p w14:paraId="2C9CA849">
            <w:pPr>
              <w:adjustRightInd w:val="0"/>
              <w:snapToGrid w:val="0"/>
              <w:spacing w:line="293" w:lineRule="auto"/>
              <w:ind w:firstLine="645"/>
              <w:rPr>
                <w:rFonts w:hint="eastAsia" w:ascii="方正仿宋_GBK" w:hAnsi="方正仿宋_GBK" w:eastAsia="方正仿宋_GBK" w:cs="方正仿宋_GBK"/>
                <w:sz w:val="32"/>
                <w:szCs w:val="32"/>
              </w:rPr>
            </w:pPr>
            <w:r>
              <w:rPr>
                <w:rFonts w:hint="eastAsia" w:ascii="Times New Roman" w:hAnsi="Times New Roman" w:eastAsia="方正仿宋_GBK" w:cs="Times New Roman"/>
                <w:sz w:val="32"/>
                <w:szCs w:val="32"/>
              </w:rPr>
              <w:t>3</w:t>
            </w:r>
            <w:r>
              <w:rPr>
                <w:rFonts w:hint="eastAsia" w:ascii="方正仿宋_GBK" w:hAnsi="方正仿宋_GBK" w:eastAsia="方正仿宋_GBK" w:cs="方正仿宋_GBK"/>
                <w:sz w:val="32"/>
                <w:szCs w:val="32"/>
              </w:rPr>
              <w:t>、本报告查询内容包括行政处罚信息（</w:t>
            </w:r>
            <w:r>
              <w:rPr>
                <w:rFonts w:hint="eastAsia" w:ascii="方正仿宋_GBK" w:hAnsi="方正仿宋_GBK" w:eastAsia="方正仿宋_GBK" w:cs="方正仿宋_GBK"/>
                <w:sz w:val="32"/>
                <w:szCs w:val="32"/>
                <w:lang w:val="en-US" w:eastAsia="zh-CN"/>
              </w:rPr>
              <w:t>普通程序</w:t>
            </w:r>
            <w:r>
              <w:rPr>
                <w:rFonts w:hint="eastAsia" w:ascii="方正仿宋_GBK" w:hAnsi="方正仿宋_GBK" w:eastAsia="方正仿宋_GBK" w:cs="方正仿宋_GBK"/>
                <w:sz w:val="32"/>
                <w:szCs w:val="32"/>
              </w:rPr>
              <w:t>）、刑事裁判（犯罪记录）信息、严重失信主体名单信息；</w:t>
            </w:r>
          </w:p>
          <w:p w14:paraId="09FCD579">
            <w:pPr>
              <w:adjustRightInd w:val="0"/>
              <w:snapToGrid w:val="0"/>
              <w:spacing w:line="293" w:lineRule="auto"/>
              <w:ind w:firstLine="645"/>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（说明：简易行政处罚、普通程序作出的仅予以警告或通报批评的行政处罚、行政强制信息可勾选，此段内容根据勾选情况动态调整）</w:t>
            </w:r>
          </w:p>
          <w:p w14:paraId="0F66A037">
            <w:pPr>
              <w:ind w:firstLine="640" w:firstLineChars="200"/>
              <w:jc w:val="left"/>
              <w:rPr>
                <w:rFonts w:ascii="方正黑体_GBK" w:eastAsia="方正黑体_GBK"/>
                <w:sz w:val="32"/>
                <w:szCs w:val="32"/>
              </w:rPr>
            </w:pPr>
            <w:r>
              <w:rPr>
                <w:rFonts w:hint="eastAsia" w:ascii="Times New Roman" w:hAnsi="Times New Roman" w:eastAsia="方正仿宋_GBK" w:cs="Times New Roman"/>
                <w:sz w:val="32"/>
                <w:szCs w:val="32"/>
              </w:rPr>
              <w:t>4</w:t>
            </w:r>
            <w:r>
              <w:rPr>
                <w:rFonts w:hint="eastAsia" w:ascii="方正仿宋_GBK" w:hAnsi="方正仿宋_GBK" w:eastAsia="方正仿宋_GBK" w:cs="方正仿宋_GBK"/>
                <w:sz w:val="32"/>
                <w:szCs w:val="32"/>
              </w:rPr>
              <w:t>、信息来源于省、市有关政府部门。如果发现报告中数据更新滞后，或对报告内容有异议、疑问，请与我们联系。联系人：省公共信用信息中心，电话：********，邮箱：**********。</w:t>
            </w:r>
          </w:p>
        </w:tc>
      </w:tr>
    </w:tbl>
    <w:p w14:paraId="657D330B">
      <w:pPr>
        <w:adjustRightInd w:val="0"/>
        <w:snapToGrid w:val="0"/>
        <w:spacing w:line="293" w:lineRule="auto"/>
        <w:ind w:firstLine="640" w:firstLineChars="200"/>
        <w:rPr>
          <w:rFonts w:ascii="方正黑体_GBK" w:eastAsia="方正黑体_GBK"/>
          <w:sz w:val="32"/>
          <w:szCs w:val="32"/>
        </w:rPr>
      </w:pPr>
    </w:p>
    <w:p w14:paraId="627B01F4">
      <w:pPr>
        <w:widowControl/>
        <w:jc w:val="left"/>
        <w:rPr>
          <w:rFonts w:eastAsia="仿宋_GB2312"/>
          <w:sz w:val="32"/>
          <w:szCs w:val="32"/>
        </w:rPr>
      </w:pPr>
      <w:r>
        <w:rPr>
          <w:rFonts w:eastAsia="仿宋_GB2312"/>
          <w:sz w:val="32"/>
          <w:szCs w:val="32"/>
        </w:rPr>
        <w:br w:type="page"/>
      </w:r>
    </w:p>
    <w:p w14:paraId="507FCB91">
      <w:pPr>
        <w:adjustRightInd w:val="0"/>
        <w:snapToGrid w:val="0"/>
        <w:spacing w:line="293" w:lineRule="auto"/>
        <w:ind w:firstLine="720" w:firstLineChars="200"/>
        <w:jc w:val="center"/>
        <w:rPr>
          <w:rFonts w:ascii="方正小标宋_GBK" w:eastAsia="方正小标宋_GBK"/>
          <w:sz w:val="36"/>
          <w:szCs w:val="36"/>
        </w:rPr>
      </w:pPr>
      <w:r>
        <w:rPr>
          <w:rFonts w:hint="eastAsia" w:ascii="方正小标宋_GBK" w:eastAsia="方正小标宋_GBK"/>
          <w:sz w:val="36"/>
          <w:szCs w:val="36"/>
        </w:rPr>
        <w:t>正文</w:t>
      </w:r>
    </w:p>
    <w:tbl>
      <w:tblPr>
        <w:tblStyle w:val="8"/>
        <w:tblW w:w="91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7"/>
      </w:tblGrid>
      <w:tr w14:paraId="264F7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7" w:hRule="atLeast"/>
        </w:trPr>
        <w:tc>
          <w:tcPr>
            <w:tcW w:w="9107" w:type="dxa"/>
          </w:tcPr>
          <w:p w14:paraId="69308DD7">
            <w:pPr>
              <w:adjustRightInd w:val="0"/>
              <w:snapToGrid w:val="0"/>
              <w:spacing w:line="293" w:lineRule="auto"/>
              <w:ind w:firstLine="640" w:firstLineChars="200"/>
              <w:rPr>
                <w:rFonts w:eastAsia="仿宋_GB2312"/>
                <w:sz w:val="32"/>
                <w:szCs w:val="32"/>
              </w:rPr>
            </w:pPr>
            <w:r>
              <w:rPr>
                <w:rFonts w:hint="eastAsia" w:ascii="方正仿宋_GBK" w:hAnsi="方正仿宋_GBK" w:eastAsia="方正仿宋_GBK" w:cs="方正仿宋_GBK"/>
                <w:sz w:val="32"/>
                <w:szCs w:val="32"/>
              </w:rPr>
              <w:t>***年**月**日至***年**月**日期间，该主体</w:t>
            </w:r>
            <w:r>
              <w:rPr>
                <w:rFonts w:hint="eastAsia" w:ascii="方正仿宋_GBK" w:hAnsi="方正仿宋_GBK" w:eastAsia="方正仿宋_GBK" w:cs="方正仿宋_GBK"/>
                <w:sz w:val="32"/>
                <w:szCs w:val="32"/>
                <w:u w:val="single"/>
              </w:rPr>
              <w:t>无</w:t>
            </w:r>
            <w:r>
              <w:rPr>
                <w:rFonts w:hint="eastAsia" w:ascii="方正仿宋_GBK" w:hAnsi="方正仿宋_GBK" w:eastAsia="方正仿宋_GBK" w:cs="方正仿宋_GBK"/>
                <w:sz w:val="32"/>
                <w:szCs w:val="32"/>
              </w:rPr>
              <w:t>违法、违规记录。</w:t>
            </w:r>
          </w:p>
        </w:tc>
      </w:tr>
    </w:tbl>
    <w:p w14:paraId="3655C55F">
      <w:pPr>
        <w:adjustRightInd w:val="0"/>
        <w:snapToGrid w:val="0"/>
        <w:spacing w:line="293" w:lineRule="auto"/>
        <w:ind w:firstLine="640" w:firstLineChars="200"/>
        <w:rPr>
          <w:rFonts w:eastAsia="仿宋_GB2312"/>
          <w:sz w:val="32"/>
          <w:szCs w:val="32"/>
        </w:rPr>
      </w:pPr>
    </w:p>
    <w:p w14:paraId="665BAB2E"/>
    <w:p w14:paraId="3542BF94"/>
    <w:p w14:paraId="66B5248C"/>
    <w:p w14:paraId="21DA8608"/>
    <w:p w14:paraId="6E604C14"/>
    <w:p w14:paraId="7ED0A1A1">
      <w:pPr>
        <w:widowControl/>
        <w:jc w:val="left"/>
      </w:pPr>
    </w:p>
    <w:p w14:paraId="0B4EB81B">
      <w:pPr>
        <w:keepNext w:val="0"/>
        <w:keepLines w:val="0"/>
        <w:pageBreakBefore w:val="0"/>
        <w:widowControl w:val="0"/>
        <w:kinsoku/>
        <w:wordWrap/>
        <w:overflowPunct/>
        <w:topLinePunct w:val="0"/>
        <w:bidi w:val="0"/>
        <w:snapToGrid/>
        <w:spacing w:line="600" w:lineRule="exact"/>
        <w:ind w:firstLine="640" w:firstLineChars="200"/>
        <w:textAlignment w:val="auto"/>
        <w:rPr>
          <w:rFonts w:hint="eastAsia" w:ascii="方正仿宋_GBK" w:eastAsia="方正仿宋_GBK"/>
          <w:sz w:val="32"/>
          <w:szCs w:val="32"/>
        </w:rPr>
      </w:pPr>
    </w:p>
    <w:sectPr>
      <w:footerReference r:id="rId3"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A3D2A">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41DA15">
                          <w:pPr>
                            <w:pStyle w:val="4"/>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D41DA15">
                    <w:pPr>
                      <w:pStyle w:val="4"/>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wNDcwNWZjZmIyODExNzc2ZjM5M2NhOTQwNWU4NTQifQ=="/>
  </w:docVars>
  <w:rsids>
    <w:rsidRoot w:val="00880D9A"/>
    <w:rsid w:val="0007400D"/>
    <w:rsid w:val="00091CC4"/>
    <w:rsid w:val="001B4801"/>
    <w:rsid w:val="001F0D64"/>
    <w:rsid w:val="00292373"/>
    <w:rsid w:val="002A23B5"/>
    <w:rsid w:val="002F0724"/>
    <w:rsid w:val="003624F1"/>
    <w:rsid w:val="00362BD1"/>
    <w:rsid w:val="003663E5"/>
    <w:rsid w:val="003C7346"/>
    <w:rsid w:val="003D7EA1"/>
    <w:rsid w:val="00455ACC"/>
    <w:rsid w:val="00474CF2"/>
    <w:rsid w:val="004876EC"/>
    <w:rsid w:val="00500701"/>
    <w:rsid w:val="00512C2B"/>
    <w:rsid w:val="005239FF"/>
    <w:rsid w:val="0052657D"/>
    <w:rsid w:val="0053551F"/>
    <w:rsid w:val="005357D9"/>
    <w:rsid w:val="005506A6"/>
    <w:rsid w:val="0056087F"/>
    <w:rsid w:val="005C3267"/>
    <w:rsid w:val="0062735C"/>
    <w:rsid w:val="006C4148"/>
    <w:rsid w:val="006C754F"/>
    <w:rsid w:val="006D76DA"/>
    <w:rsid w:val="006E1092"/>
    <w:rsid w:val="006F0A6E"/>
    <w:rsid w:val="0080150D"/>
    <w:rsid w:val="008060C3"/>
    <w:rsid w:val="00807737"/>
    <w:rsid w:val="00825B1F"/>
    <w:rsid w:val="0085128E"/>
    <w:rsid w:val="00876088"/>
    <w:rsid w:val="00880D9A"/>
    <w:rsid w:val="008A3E85"/>
    <w:rsid w:val="008C4110"/>
    <w:rsid w:val="008D4674"/>
    <w:rsid w:val="00911BD5"/>
    <w:rsid w:val="0096088C"/>
    <w:rsid w:val="00A31F16"/>
    <w:rsid w:val="00A446B1"/>
    <w:rsid w:val="00A4628E"/>
    <w:rsid w:val="00A4725D"/>
    <w:rsid w:val="00A64A78"/>
    <w:rsid w:val="00A7718B"/>
    <w:rsid w:val="00A937F4"/>
    <w:rsid w:val="00AB1CA0"/>
    <w:rsid w:val="00B8690C"/>
    <w:rsid w:val="00B93152"/>
    <w:rsid w:val="00C00C70"/>
    <w:rsid w:val="00C25CEA"/>
    <w:rsid w:val="00C335F4"/>
    <w:rsid w:val="00C41778"/>
    <w:rsid w:val="00CD20D7"/>
    <w:rsid w:val="00D0488C"/>
    <w:rsid w:val="00D36445"/>
    <w:rsid w:val="00D40590"/>
    <w:rsid w:val="00D65993"/>
    <w:rsid w:val="00D9493D"/>
    <w:rsid w:val="00E1047E"/>
    <w:rsid w:val="00E249CC"/>
    <w:rsid w:val="00E357A0"/>
    <w:rsid w:val="00E80B8B"/>
    <w:rsid w:val="00E81433"/>
    <w:rsid w:val="00E9034B"/>
    <w:rsid w:val="00EA55EC"/>
    <w:rsid w:val="00EF3E7B"/>
    <w:rsid w:val="00F04CCD"/>
    <w:rsid w:val="00F33813"/>
    <w:rsid w:val="00F723C7"/>
    <w:rsid w:val="00FB4618"/>
    <w:rsid w:val="00FB5C79"/>
    <w:rsid w:val="00FD491C"/>
    <w:rsid w:val="010A29DC"/>
    <w:rsid w:val="01E52B01"/>
    <w:rsid w:val="02BB351E"/>
    <w:rsid w:val="0338552D"/>
    <w:rsid w:val="03CE7CF1"/>
    <w:rsid w:val="069F5975"/>
    <w:rsid w:val="09390546"/>
    <w:rsid w:val="0B273AD6"/>
    <w:rsid w:val="0E122ED0"/>
    <w:rsid w:val="0FED7751"/>
    <w:rsid w:val="10F73346"/>
    <w:rsid w:val="12C16C73"/>
    <w:rsid w:val="146927B7"/>
    <w:rsid w:val="14EA0703"/>
    <w:rsid w:val="14F43330"/>
    <w:rsid w:val="18FD084D"/>
    <w:rsid w:val="1AAA30B1"/>
    <w:rsid w:val="1B207449"/>
    <w:rsid w:val="1BED2887"/>
    <w:rsid w:val="1E220F0E"/>
    <w:rsid w:val="1E2433C8"/>
    <w:rsid w:val="248D2E59"/>
    <w:rsid w:val="289064B1"/>
    <w:rsid w:val="28F93874"/>
    <w:rsid w:val="2A157B78"/>
    <w:rsid w:val="2CC338BC"/>
    <w:rsid w:val="2DB57D07"/>
    <w:rsid w:val="2DD735EC"/>
    <w:rsid w:val="30AD2C88"/>
    <w:rsid w:val="32843AED"/>
    <w:rsid w:val="32AE7C54"/>
    <w:rsid w:val="32E4458C"/>
    <w:rsid w:val="33291F9F"/>
    <w:rsid w:val="343372B8"/>
    <w:rsid w:val="349F4C0E"/>
    <w:rsid w:val="37537F2A"/>
    <w:rsid w:val="37774F24"/>
    <w:rsid w:val="3AF81DDA"/>
    <w:rsid w:val="3B2C4D22"/>
    <w:rsid w:val="3BCF5D15"/>
    <w:rsid w:val="3BD3113D"/>
    <w:rsid w:val="3D20038F"/>
    <w:rsid w:val="3D580050"/>
    <w:rsid w:val="3EEB0A50"/>
    <w:rsid w:val="40566D01"/>
    <w:rsid w:val="41EA124C"/>
    <w:rsid w:val="45343151"/>
    <w:rsid w:val="47CA56A6"/>
    <w:rsid w:val="48D93A13"/>
    <w:rsid w:val="4AC05487"/>
    <w:rsid w:val="4AD8632C"/>
    <w:rsid w:val="4C430746"/>
    <w:rsid w:val="4CA54934"/>
    <w:rsid w:val="51C40A89"/>
    <w:rsid w:val="52E41D7E"/>
    <w:rsid w:val="56FF2587"/>
    <w:rsid w:val="578C0BCA"/>
    <w:rsid w:val="57B00DA4"/>
    <w:rsid w:val="57B10631"/>
    <w:rsid w:val="58745F07"/>
    <w:rsid w:val="58C900DE"/>
    <w:rsid w:val="59D32AE1"/>
    <w:rsid w:val="5AAC3332"/>
    <w:rsid w:val="5D07727F"/>
    <w:rsid w:val="5D144917"/>
    <w:rsid w:val="5D2C42B6"/>
    <w:rsid w:val="61217132"/>
    <w:rsid w:val="622D31D4"/>
    <w:rsid w:val="62474C43"/>
    <w:rsid w:val="637D951B"/>
    <w:rsid w:val="64833FCA"/>
    <w:rsid w:val="668D2F14"/>
    <w:rsid w:val="66F623FD"/>
    <w:rsid w:val="6AC028EA"/>
    <w:rsid w:val="6BA674A9"/>
    <w:rsid w:val="6CA36342"/>
    <w:rsid w:val="6D3B4F62"/>
    <w:rsid w:val="6D3E5E24"/>
    <w:rsid w:val="6D4E3938"/>
    <w:rsid w:val="6D57712D"/>
    <w:rsid w:val="6F6F1DBC"/>
    <w:rsid w:val="714A76D4"/>
    <w:rsid w:val="72A815A9"/>
    <w:rsid w:val="74CD044F"/>
    <w:rsid w:val="7610256F"/>
    <w:rsid w:val="78DC460F"/>
    <w:rsid w:val="7AF661D7"/>
    <w:rsid w:val="7B206849"/>
    <w:rsid w:val="7B6018A2"/>
    <w:rsid w:val="7BBDE628"/>
    <w:rsid w:val="7C7C44BA"/>
    <w:rsid w:val="7DF664EA"/>
    <w:rsid w:val="7E01111B"/>
    <w:rsid w:val="7E3374B4"/>
    <w:rsid w:val="7EB47849"/>
    <w:rsid w:val="7ED11769"/>
    <w:rsid w:val="7FAB1AA3"/>
    <w:rsid w:val="CDF6BDC7"/>
    <w:rsid w:val="FFFD07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alloon Text"/>
    <w:basedOn w:val="1"/>
    <w:link w:val="13"/>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0">
    <w:name w:val="List Paragraph"/>
    <w:basedOn w:val="1"/>
    <w:qFormat/>
    <w:uiPriority w:val="34"/>
    <w:pPr>
      <w:ind w:firstLine="420" w:firstLineChars="200"/>
    </w:pPr>
  </w:style>
  <w:style w:type="character" w:customStyle="1" w:styleId="11">
    <w:name w:val="页眉 Char"/>
    <w:basedOn w:val="9"/>
    <w:link w:val="5"/>
    <w:qFormat/>
    <w:uiPriority w:val="99"/>
    <w:rPr>
      <w:sz w:val="18"/>
      <w:szCs w:val="18"/>
    </w:rPr>
  </w:style>
  <w:style w:type="character" w:customStyle="1" w:styleId="12">
    <w:name w:val="页脚 Char"/>
    <w:basedOn w:val="9"/>
    <w:link w:val="4"/>
    <w:qFormat/>
    <w:uiPriority w:val="99"/>
    <w:rPr>
      <w:sz w:val="18"/>
      <w:szCs w:val="18"/>
    </w:rPr>
  </w:style>
  <w:style w:type="character" w:customStyle="1" w:styleId="13">
    <w:name w:val="批注框文本 Char"/>
    <w:basedOn w:val="9"/>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9</Pages>
  <Words>2985</Words>
  <Characters>3083</Characters>
  <Lines>18</Lines>
  <Paragraphs>5</Paragraphs>
  <TotalTime>0</TotalTime>
  <ScaleCrop>false</ScaleCrop>
  <LinksUpToDate>false</LinksUpToDate>
  <CharactersWithSpaces>3112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2024-02-01T18:02:00Z</dcterms:created>
  <dc:creator>jssxxzx</dc:creator>
  <cp:lastModifiedBy>Sun N-N</cp:lastModifiedBy>
  <cp:lastPrinted>2025-07-02T04:35:00Z</cp:lastPrinted>
  <dcterms:modified xsi:type="dcterms:W3CDTF">2025-07-14T03:01:47Z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09A1FB7368E44A7784AAA9696F8BF228_13</vt:lpwstr>
  </property>
  <property fmtid="{D5CDD505-2E9C-101B-9397-08002B2CF9AE}" pid="4" name="KSOTemplateDocerSaveRecord">
    <vt:lpwstr>eyJoZGlkIjoiZjgwMDE0MWFlNTUyZWFjOGQyMmYxNDAyNDQzNjQwYWUiLCJ1c2VySWQiOiI2MTMzMjM4NTYifQ==</vt:lpwstr>
  </property>
</Properties>
</file>